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hint="eastAsia" w:eastAsia="方正小标宋_GBK"/>
          <w:sz w:val="44"/>
          <w:szCs w:val="44"/>
        </w:rPr>
      </w:pPr>
      <w:r>
        <w:rPr>
          <w:rFonts w:hint="eastAsia" w:eastAsia="方正小标宋_GBK"/>
          <w:sz w:val="44"/>
          <w:szCs w:val="44"/>
        </w:rPr>
        <w:t>关于濠江区2022年第三次预算调整情况</w:t>
      </w:r>
    </w:p>
    <w:p>
      <w:pPr>
        <w:snapToGrid w:val="0"/>
        <w:spacing w:line="600" w:lineRule="exact"/>
        <w:jc w:val="center"/>
        <w:rPr>
          <w:rFonts w:hint="eastAsia" w:eastAsia="方正小标宋_GBK"/>
          <w:sz w:val="44"/>
          <w:szCs w:val="44"/>
        </w:rPr>
      </w:pPr>
      <w:r>
        <w:rPr>
          <w:rFonts w:hint="eastAsia" w:eastAsia="方正小标宋_GBK"/>
          <w:sz w:val="44"/>
          <w:szCs w:val="44"/>
        </w:rPr>
        <w:t>说明的报告</w:t>
      </w:r>
    </w:p>
    <w:p>
      <w:pPr>
        <w:keepNext w:val="0"/>
        <w:keepLines w:val="0"/>
        <w:pageBreakBefore w:val="0"/>
        <w:widowControl w:val="0"/>
        <w:kinsoku/>
        <w:wordWrap/>
        <w:overflowPunct/>
        <w:topLinePunct w:val="0"/>
        <w:autoSpaceDE/>
        <w:autoSpaceDN/>
        <w:bidi w:val="0"/>
        <w:adjustRightInd/>
        <w:snapToGrid/>
        <w:spacing w:line="240" w:lineRule="exact"/>
        <w:ind w:left="28" w:leftChars="5" w:right="-23" w:hanging="12" w:hangingChars="4"/>
        <w:jc w:val="center"/>
        <w:textAlignment w:val="auto"/>
        <w:rPr>
          <w:rFonts w:hint="eastAsia" w:ascii="方正楷体简体" w:hAnsi="方正楷体简体" w:eastAsia="方正楷体简体" w:cs="方正楷体简体"/>
          <w:w w:val="98"/>
          <w:kern w:val="0"/>
          <w:sz w:val="32"/>
          <w:szCs w:val="32"/>
          <w:lang w:eastAsia="zh-CN"/>
        </w:rPr>
      </w:pPr>
    </w:p>
    <w:p>
      <w:pPr>
        <w:spacing w:line="600" w:lineRule="exact"/>
        <w:ind w:left="28" w:leftChars="5" w:right="-23" w:hanging="12" w:hangingChars="4"/>
        <w:jc w:val="center"/>
        <w:rPr>
          <w:rFonts w:eastAsia="方正楷体简体"/>
          <w:w w:val="98"/>
          <w:kern w:val="0"/>
          <w:szCs w:val="32"/>
        </w:rPr>
      </w:pPr>
      <w:r>
        <w:rPr>
          <w:rFonts w:eastAsia="方正楷体简体"/>
          <w:w w:val="98"/>
          <w:kern w:val="0"/>
          <w:szCs w:val="32"/>
        </w:rPr>
        <w:t>濠江区财政局局长 郑潮辉</w:t>
      </w:r>
    </w:p>
    <w:p>
      <w:pPr>
        <w:spacing w:line="600" w:lineRule="exact"/>
        <w:jc w:val="center"/>
        <w:rPr>
          <w:rFonts w:eastAsia="楷体_GB2312"/>
          <w:szCs w:val="32"/>
        </w:rPr>
      </w:pPr>
      <w:r>
        <w:rPr>
          <w:rFonts w:eastAsia="楷体_GB2312"/>
          <w:szCs w:val="32"/>
        </w:rPr>
        <w:t>（2022年</w:t>
      </w:r>
      <w:r>
        <w:rPr>
          <w:rFonts w:hint="eastAsia" w:eastAsia="楷体_GB2312"/>
          <w:szCs w:val="32"/>
          <w:lang w:val="en-US" w:eastAsia="zh-CN"/>
        </w:rPr>
        <w:t>12</w:t>
      </w:r>
      <w:r>
        <w:rPr>
          <w:rFonts w:eastAsia="楷体_GB2312"/>
          <w:szCs w:val="32"/>
        </w:rPr>
        <w:t>月</w:t>
      </w:r>
      <w:r>
        <w:rPr>
          <w:rFonts w:hint="eastAsia" w:eastAsia="楷体_GB2312"/>
          <w:szCs w:val="32"/>
          <w:lang w:val="en-US" w:eastAsia="zh-CN"/>
        </w:rPr>
        <w:t>30</w:t>
      </w:r>
      <w:bookmarkStart w:id="0" w:name="_GoBack"/>
      <w:bookmarkEnd w:id="0"/>
      <w:r>
        <w:rPr>
          <w:rFonts w:eastAsia="楷体_GB2312"/>
          <w:szCs w:val="32"/>
        </w:rPr>
        <w:t>日）</w:t>
      </w: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rPr>
          <w:rFonts w:hint="eastAsia" w:ascii="仿宋_GB2312"/>
          <w:szCs w:val="32"/>
        </w:rPr>
      </w:pPr>
    </w:p>
    <w:p>
      <w:pPr>
        <w:snapToGrid w:val="0"/>
        <w:spacing w:line="600" w:lineRule="exact"/>
        <w:rPr>
          <w:rFonts w:eastAsia="方正仿宋简体"/>
          <w:szCs w:val="32"/>
        </w:rPr>
      </w:pPr>
      <w:r>
        <w:rPr>
          <w:rFonts w:eastAsia="方正仿宋简体"/>
          <w:szCs w:val="32"/>
        </w:rPr>
        <w:t>主任，各位副主任，各位委员：</w:t>
      </w:r>
    </w:p>
    <w:p>
      <w:pPr>
        <w:snapToGrid w:val="0"/>
        <w:spacing w:line="600" w:lineRule="exact"/>
        <w:ind w:firstLine="640" w:firstLineChars="200"/>
        <w:rPr>
          <w:rFonts w:eastAsia="方正仿宋简体"/>
          <w:szCs w:val="32"/>
        </w:rPr>
      </w:pPr>
      <w:r>
        <w:rPr>
          <w:rFonts w:eastAsia="方正仿宋简体"/>
          <w:szCs w:val="32"/>
        </w:rPr>
        <w:t>我受区人民政府委托，向区人大常委会作</w:t>
      </w:r>
      <w:r>
        <w:rPr>
          <w:rFonts w:hint="eastAsia" w:eastAsia="方正仿宋简体"/>
          <w:szCs w:val="32"/>
        </w:rPr>
        <w:t>关于濠江区2022年第三次预算调整情况说明的报告</w:t>
      </w:r>
      <w:r>
        <w:rPr>
          <w:rFonts w:eastAsia="方正仿宋简体"/>
          <w:szCs w:val="32"/>
        </w:rPr>
        <w:t>，请予审议。</w:t>
      </w:r>
    </w:p>
    <w:p>
      <w:pPr>
        <w:snapToGrid w:val="0"/>
        <w:spacing w:line="600" w:lineRule="exact"/>
        <w:ind w:firstLine="640" w:firstLineChars="200"/>
        <w:rPr>
          <w:rFonts w:hint="eastAsia" w:eastAsia="方正仿宋简体"/>
          <w:szCs w:val="32"/>
        </w:rPr>
      </w:pPr>
      <w:r>
        <w:rPr>
          <w:rFonts w:hint="eastAsia" w:eastAsia="方正仿宋简体"/>
          <w:szCs w:val="32"/>
        </w:rPr>
        <w:t>今年5月份、11月份分别对因新增债券和预算执行进行两次预算调整后，受经济持续下行及新冠疫情的双重冲击，区土地出让收入情况仍不及预期，预算执行再次出现较大的变化。根据《预算法》的规定，需再次对财政预算作调整。区财政局已初步形成《关于濠江区2022年第三次预算调整情况说明的报告》，本次调整的主要因素：一是土地出让收入变动较大需进行相应调整；二是已列入预算的部分支出项目年底前无法支出，按规定进行收回；三是因收支缺口，需对部分已支出项目改列暂付款。按照收支平衡的原则，本次预算调整方案（草案）如下：</w:t>
      </w:r>
    </w:p>
    <w:p>
      <w:pPr>
        <w:adjustRightInd w:val="0"/>
        <w:spacing w:line="600" w:lineRule="exact"/>
        <w:ind w:firstLine="640" w:firstLineChars="200"/>
        <w:jc w:val="left"/>
        <w:rPr>
          <w:rFonts w:hint="eastAsia" w:eastAsia="方正黑体简体"/>
          <w:bCs/>
          <w:szCs w:val="32"/>
        </w:rPr>
      </w:pPr>
      <w:r>
        <w:rPr>
          <w:rFonts w:hint="eastAsia" w:eastAsia="方正黑体简体"/>
          <w:bCs/>
          <w:szCs w:val="32"/>
        </w:rPr>
        <w:t>一</w:t>
      </w:r>
      <w:r>
        <w:rPr>
          <w:rFonts w:hint="eastAsia" w:eastAsia="方正黑体简体"/>
          <w:bCs/>
          <w:szCs w:val="32"/>
          <w:lang w:eastAsia="zh-CN"/>
        </w:rPr>
        <w:t>、</w:t>
      </w:r>
      <w:r>
        <w:rPr>
          <w:rFonts w:hint="eastAsia" w:eastAsia="方正黑体简体"/>
          <w:bCs/>
          <w:szCs w:val="32"/>
        </w:rPr>
        <w:t>一般公共预算调整方面</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（一）本级一般公共预算收入</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第二次预算调整36017万元，本次调整为</w:t>
      </w:r>
      <w:r>
        <w:rPr>
          <w:rFonts w:hint="eastAsia" w:eastAsia="方正仿宋简体"/>
          <w:szCs w:val="32"/>
          <w:lang w:val="en-US" w:eastAsia="zh-CN"/>
        </w:rPr>
        <w:t>42622</w:t>
      </w:r>
      <w:r>
        <w:rPr>
          <w:rFonts w:hint="eastAsia" w:eastAsia="方正仿宋简体"/>
          <w:szCs w:val="32"/>
        </w:rPr>
        <w:t>万元，调增</w:t>
      </w:r>
      <w:r>
        <w:rPr>
          <w:rFonts w:hint="eastAsia" w:eastAsia="方正仿宋简体"/>
          <w:szCs w:val="32"/>
          <w:lang w:val="en-US" w:eastAsia="zh-CN"/>
        </w:rPr>
        <w:t>6605</w:t>
      </w:r>
      <w:r>
        <w:rPr>
          <w:rFonts w:hint="eastAsia" w:eastAsia="方正仿宋简体"/>
          <w:szCs w:val="32"/>
        </w:rPr>
        <w:t>万元。主要是增加国有资源（资产）有偿使用收入</w:t>
      </w:r>
      <w:r>
        <w:rPr>
          <w:rFonts w:hint="eastAsia" w:eastAsia="方正仿宋简体"/>
          <w:szCs w:val="32"/>
          <w:lang w:eastAsia="zh-CN"/>
        </w:rPr>
        <w:t>和政府性基金计提</w:t>
      </w:r>
      <w:r>
        <w:rPr>
          <w:rFonts w:hint="eastAsia" w:eastAsia="方正仿宋简体"/>
          <w:szCs w:val="32"/>
        </w:rPr>
        <w:t>农田水利建设资金</w:t>
      </w:r>
      <w:r>
        <w:rPr>
          <w:rFonts w:hint="eastAsia" w:eastAsia="方正仿宋简体"/>
          <w:szCs w:val="32"/>
          <w:lang w:eastAsia="zh-CN"/>
        </w:rPr>
        <w:t>、</w:t>
      </w:r>
      <w:r>
        <w:rPr>
          <w:rFonts w:hint="eastAsia" w:eastAsia="方正仿宋简体"/>
          <w:szCs w:val="32"/>
        </w:rPr>
        <w:t>教育资金。（详见附表1）</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（二）上级财力性补助收入</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48497万元，本次调整为51714万元，调增3217万元。主要是截至目前，上级增加的财力性补助。根据《广东省人民政府办公厅关于印发广东省财政一般性转移支付资金管理办法的通知》（粤府办〔2014〕31号），市县统筹使用上级财政一般性转移支付资金，应按照民生支出、运转支出、协调发展支出的顺序和使用范围安排使用。（详见附表4）</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（三）上级专项性补助收入</w:t>
      </w:r>
    </w:p>
    <w:p>
      <w:pPr>
        <w:snapToGrid w:val="0"/>
        <w:spacing w:line="600" w:lineRule="exact"/>
        <w:rPr>
          <w:rFonts w:hint="eastAsia" w:eastAsia="方正仿宋简体"/>
          <w:szCs w:val="32"/>
        </w:rPr>
      </w:pPr>
      <w:r>
        <w:rPr>
          <w:rFonts w:hint="eastAsia" w:eastAsia="方正仿宋简体"/>
          <w:szCs w:val="32"/>
        </w:rPr>
        <w:t>第二次预算调整78498万元，本次调整为85797万元，调增7299万元。主要是截至目前，上级追加专项补助资金。（详见附表2）</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（四）新增一般债券转贷收入</w:t>
      </w:r>
    </w:p>
    <w:p>
      <w:pPr>
        <w:snapToGrid w:val="0"/>
        <w:spacing w:line="600" w:lineRule="exact"/>
        <w:rPr>
          <w:rFonts w:hint="eastAsia" w:eastAsia="方正仿宋简体"/>
          <w:szCs w:val="32"/>
        </w:rPr>
      </w:pPr>
      <w:r>
        <w:rPr>
          <w:rFonts w:hint="eastAsia" w:eastAsia="方正仿宋简体"/>
          <w:szCs w:val="32"/>
        </w:rPr>
        <w:t>保持第二次预算调整7500万元不变。</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（五）再融资一般债券转贷收入</w:t>
      </w:r>
    </w:p>
    <w:p>
      <w:pPr>
        <w:snapToGrid w:val="0"/>
        <w:spacing w:line="600" w:lineRule="exact"/>
        <w:rPr>
          <w:rFonts w:hint="eastAsia" w:eastAsia="方正仿宋简体"/>
          <w:szCs w:val="32"/>
        </w:rPr>
      </w:pPr>
      <w:r>
        <w:rPr>
          <w:rFonts w:hint="eastAsia" w:eastAsia="方正仿宋简体"/>
          <w:szCs w:val="32"/>
        </w:rPr>
        <w:t>保持第二次预算调整10143不变。</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（六）补充预算稳定调节基金</w:t>
      </w:r>
    </w:p>
    <w:p>
      <w:pPr>
        <w:snapToGrid w:val="0"/>
        <w:spacing w:line="600" w:lineRule="exact"/>
        <w:rPr>
          <w:rFonts w:hint="eastAsia" w:eastAsia="方正仿宋简体"/>
          <w:szCs w:val="32"/>
        </w:rPr>
      </w:pPr>
      <w:r>
        <w:rPr>
          <w:rFonts w:hint="eastAsia" w:eastAsia="方正仿宋简体"/>
          <w:szCs w:val="32"/>
        </w:rPr>
        <w:t>保持第二次预算调整540万元不变。</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（七）调入资金</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第二次预算调整96425万元，本次调整为</w:t>
      </w:r>
      <w:r>
        <w:rPr>
          <w:rFonts w:hint="eastAsia" w:eastAsia="方正仿宋简体"/>
          <w:szCs w:val="32"/>
          <w:lang w:val="en-US" w:eastAsia="zh-CN"/>
        </w:rPr>
        <w:t>30880</w:t>
      </w:r>
      <w:r>
        <w:rPr>
          <w:rFonts w:hint="eastAsia" w:eastAsia="方正仿宋简体"/>
          <w:szCs w:val="32"/>
        </w:rPr>
        <w:t>万元，调减6</w:t>
      </w:r>
      <w:r>
        <w:rPr>
          <w:rFonts w:hint="eastAsia" w:eastAsia="方正仿宋简体"/>
          <w:szCs w:val="32"/>
          <w:lang w:val="en-US" w:eastAsia="zh-CN"/>
        </w:rPr>
        <w:t>5545</w:t>
      </w:r>
      <w:r>
        <w:rPr>
          <w:rFonts w:hint="eastAsia" w:eastAsia="方正仿宋简体"/>
          <w:szCs w:val="32"/>
        </w:rPr>
        <w:t>万元。主要是政府性基金预算调入资金从原96402万元调整为</w:t>
      </w:r>
      <w:r>
        <w:rPr>
          <w:rFonts w:hint="eastAsia" w:eastAsia="方正仿宋简体"/>
          <w:szCs w:val="32"/>
          <w:lang w:val="en-US" w:eastAsia="zh-CN"/>
        </w:rPr>
        <w:t>28262</w:t>
      </w:r>
      <w:r>
        <w:rPr>
          <w:rFonts w:hint="eastAsia" w:eastAsia="方正仿宋简体"/>
          <w:szCs w:val="32"/>
        </w:rPr>
        <w:t>万元，调减6</w:t>
      </w:r>
      <w:r>
        <w:rPr>
          <w:rFonts w:hint="eastAsia" w:eastAsia="方正仿宋简体"/>
          <w:szCs w:val="32"/>
          <w:lang w:val="en-US" w:eastAsia="zh-CN"/>
        </w:rPr>
        <w:t>8</w:t>
      </w:r>
      <w:r>
        <w:rPr>
          <w:rFonts w:hint="eastAsia" w:eastAsia="方正仿宋简体"/>
          <w:szCs w:val="32"/>
        </w:rPr>
        <w:t>140万元；国有资本经营预算调入从原23万元调整为</w:t>
      </w:r>
      <w:r>
        <w:rPr>
          <w:rFonts w:hint="eastAsia" w:eastAsia="方正仿宋简体"/>
          <w:szCs w:val="32"/>
          <w:lang w:val="en-US" w:eastAsia="zh-CN"/>
        </w:rPr>
        <w:t>900</w:t>
      </w:r>
      <w:r>
        <w:rPr>
          <w:rFonts w:hint="eastAsia" w:eastAsia="方正仿宋简体"/>
          <w:szCs w:val="32"/>
        </w:rPr>
        <w:t>万元，调增</w:t>
      </w:r>
      <w:r>
        <w:rPr>
          <w:rFonts w:hint="eastAsia" w:eastAsia="方正仿宋简体"/>
          <w:szCs w:val="32"/>
          <w:lang w:val="en-US" w:eastAsia="zh-CN"/>
        </w:rPr>
        <w:t>877</w:t>
      </w:r>
      <w:r>
        <w:rPr>
          <w:rFonts w:hint="eastAsia" w:eastAsia="方正仿宋简体"/>
          <w:szCs w:val="32"/>
        </w:rPr>
        <w:t>万元；增加从财政专户调入1718万元。</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（八）上年专项结转</w:t>
      </w:r>
    </w:p>
    <w:p>
      <w:pPr>
        <w:snapToGrid w:val="0"/>
        <w:spacing w:line="600" w:lineRule="exact"/>
        <w:ind w:firstLine="640" w:firstLineChars="200"/>
        <w:rPr>
          <w:rFonts w:hint="eastAsia" w:eastAsia="方正仿宋简体"/>
          <w:szCs w:val="32"/>
        </w:rPr>
      </w:pPr>
      <w:r>
        <w:rPr>
          <w:rFonts w:hint="eastAsia" w:eastAsia="方正仿宋简体"/>
          <w:szCs w:val="32"/>
        </w:rPr>
        <w:t>保持第二次预算调整38343万元不变。</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（九）本级一般公共预算支出</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第二次预算调整237367万元，本次调整为181689万元，调减55678万元（详见附表2、附表3）。主要调减如下：</w:t>
      </w:r>
    </w:p>
    <w:p>
      <w:pPr>
        <w:snapToGrid w:val="0"/>
        <w:spacing w:line="600" w:lineRule="exact"/>
        <w:ind w:firstLine="640" w:firstLineChars="200"/>
        <w:rPr>
          <w:rFonts w:hint="eastAsia" w:eastAsia="方正仿宋简体"/>
          <w:szCs w:val="32"/>
        </w:rPr>
      </w:pPr>
      <w:r>
        <w:rPr>
          <w:rFonts w:hint="eastAsia" w:eastAsia="方正仿宋简体"/>
          <w:szCs w:val="32"/>
        </w:rPr>
        <w:t>一是调减预留机关事业单位职业年金898万元；二是调减其他人员经费4064万元；三是调减各项专项工作经费调减24603万元，主要是机关事业单位工作人员养老保险区级补助资金、城乡居民社会养老保险、预备费、教育装备建设项目经费、教师培训经费和预留国家级全域旅游示范区创建经费等；四是2021年税务征收经费压支2675万元调整为使用存量资金支出；五是按规定收回上年上级结转支出23505万元用于补充本级财力。</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（十）上级专项支出</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第二次预算调整78498万元，本次调整为51318万元，调减27180万元。主要是截至目前上级追加专项补助资金相应安排的支出。（详见附表2）</w:t>
      </w:r>
    </w:p>
    <w:p>
      <w:pPr>
        <w:snapToGrid w:val="0"/>
        <w:spacing w:line="600" w:lineRule="exact"/>
        <w:ind w:firstLine="640" w:firstLineChars="200"/>
        <w:rPr>
          <w:rFonts w:hint="eastAsia" w:eastAsia="方正楷体简体"/>
          <w:szCs w:val="32"/>
          <w:lang w:val="en-US" w:eastAsia="zh-CN"/>
        </w:rPr>
      </w:pPr>
      <w:r>
        <w:rPr>
          <w:rFonts w:hint="eastAsia" w:eastAsia="方正楷体简体"/>
          <w:szCs w:val="32"/>
          <w:lang w:val="en-US" w:eastAsia="zh-CN"/>
        </w:rPr>
        <w:t>（十一）一般公共预算收支平衡情况</w:t>
      </w:r>
    </w:p>
    <w:p>
      <w:pPr>
        <w:snapToGrid w:val="0"/>
        <w:spacing w:line="600" w:lineRule="exact"/>
        <w:ind w:firstLine="640" w:firstLineChars="200"/>
        <w:rPr>
          <w:rFonts w:hint="eastAsia" w:eastAsia="方正仿宋简体"/>
          <w:szCs w:val="32"/>
        </w:rPr>
      </w:pPr>
      <w:r>
        <w:rPr>
          <w:rFonts w:hint="eastAsia" w:eastAsia="方正仿宋简体"/>
          <w:szCs w:val="32"/>
        </w:rPr>
        <w:t>综上，调整后收入合计</w:t>
      </w:r>
      <w:r>
        <w:rPr>
          <w:rFonts w:hint="eastAsia" w:eastAsia="方正仿宋简体"/>
          <w:szCs w:val="32"/>
          <w:lang w:val="en-US" w:eastAsia="zh-CN"/>
        </w:rPr>
        <w:t>267539</w:t>
      </w:r>
      <w:r>
        <w:rPr>
          <w:rFonts w:hint="eastAsia" w:eastAsia="方正仿宋简体"/>
          <w:szCs w:val="32"/>
        </w:rPr>
        <w:t>万元，支出合计233007万元，收支相抵，结转结余34</w:t>
      </w:r>
      <w:r>
        <w:rPr>
          <w:rFonts w:hint="eastAsia" w:eastAsia="方正仿宋简体"/>
          <w:szCs w:val="32"/>
          <w:lang w:val="en-US" w:eastAsia="zh-CN"/>
        </w:rPr>
        <w:t>532</w:t>
      </w:r>
      <w:r>
        <w:rPr>
          <w:rFonts w:hint="eastAsia" w:eastAsia="方正仿宋简体"/>
          <w:szCs w:val="32"/>
        </w:rPr>
        <w:t>万元，其中本级结余</w:t>
      </w:r>
      <w:r>
        <w:rPr>
          <w:rFonts w:hint="eastAsia" w:eastAsia="方正仿宋简体"/>
          <w:szCs w:val="32"/>
          <w:lang w:val="en-US" w:eastAsia="zh-CN"/>
        </w:rPr>
        <w:t>53</w:t>
      </w:r>
      <w:r>
        <w:rPr>
          <w:rFonts w:hint="eastAsia" w:eastAsia="方正仿宋简体"/>
          <w:szCs w:val="32"/>
        </w:rPr>
        <w:t>万元，上级专项结转34479万元。</w:t>
      </w:r>
    </w:p>
    <w:p>
      <w:pPr>
        <w:adjustRightInd w:val="0"/>
        <w:spacing w:line="600" w:lineRule="exact"/>
        <w:ind w:firstLine="640" w:firstLineChars="200"/>
        <w:jc w:val="left"/>
        <w:rPr>
          <w:rFonts w:hint="eastAsia" w:eastAsia="方正黑体简体"/>
          <w:bCs/>
          <w:szCs w:val="32"/>
        </w:rPr>
      </w:pPr>
      <w:r>
        <w:rPr>
          <w:rFonts w:hint="eastAsia" w:eastAsia="方正黑体简体"/>
          <w:bCs/>
          <w:szCs w:val="32"/>
        </w:rPr>
        <w:t>二</w:t>
      </w:r>
      <w:r>
        <w:rPr>
          <w:rFonts w:hint="eastAsia" w:eastAsia="方正黑体简体"/>
          <w:bCs/>
          <w:szCs w:val="32"/>
          <w:lang w:eastAsia="zh-CN"/>
        </w:rPr>
        <w:t>、</w:t>
      </w:r>
      <w:r>
        <w:rPr>
          <w:rFonts w:hint="eastAsia" w:eastAsia="方正黑体简体"/>
          <w:bCs/>
          <w:szCs w:val="32"/>
        </w:rPr>
        <w:t>政府性基金预算调整方面</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（一）本级政府性基金收入</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第二次预算调整190615万元，本次调整为</w:t>
      </w:r>
      <w:r>
        <w:rPr>
          <w:rFonts w:hint="eastAsia" w:eastAsia="方正仿宋简体"/>
          <w:szCs w:val="32"/>
          <w:lang w:val="en-US" w:eastAsia="zh-CN"/>
        </w:rPr>
        <w:t>54575</w:t>
      </w:r>
      <w:r>
        <w:rPr>
          <w:rFonts w:hint="eastAsia" w:eastAsia="方正仿宋简体"/>
          <w:szCs w:val="32"/>
        </w:rPr>
        <w:t>万元，调减1</w:t>
      </w:r>
      <w:r>
        <w:rPr>
          <w:rFonts w:hint="eastAsia" w:eastAsia="方正仿宋简体"/>
          <w:szCs w:val="32"/>
          <w:lang w:val="en-US" w:eastAsia="zh-CN"/>
        </w:rPr>
        <w:t>36040</w:t>
      </w:r>
      <w:r>
        <w:rPr>
          <w:rFonts w:hint="eastAsia" w:eastAsia="方正仿宋简体"/>
          <w:szCs w:val="32"/>
        </w:rPr>
        <w:t>万元。（详见附表5、附表6）</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（二）上级专项补助收入</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第二次预算调整7342万元，本次调整</w:t>
      </w:r>
      <w:r>
        <w:rPr>
          <w:rFonts w:hint="eastAsia" w:eastAsia="方正仿宋简体"/>
          <w:szCs w:val="32"/>
          <w:lang w:eastAsia="zh-CN"/>
        </w:rPr>
        <w:t>为</w:t>
      </w:r>
      <w:r>
        <w:rPr>
          <w:rFonts w:hint="eastAsia" w:eastAsia="方正仿宋简体"/>
          <w:szCs w:val="32"/>
        </w:rPr>
        <w:t>5669万元，调减1673万元，主要是截至目前，上级调整追加专项补助资金。</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（三）新增专项债券转贷收入</w:t>
      </w:r>
    </w:p>
    <w:p>
      <w:pPr>
        <w:snapToGrid w:val="0"/>
        <w:spacing w:line="600" w:lineRule="exact"/>
        <w:ind w:firstLine="640" w:firstLineChars="200"/>
        <w:rPr>
          <w:rFonts w:hint="eastAsia" w:eastAsia="方正仿宋简体"/>
          <w:szCs w:val="32"/>
        </w:rPr>
      </w:pPr>
      <w:r>
        <w:rPr>
          <w:rFonts w:hint="eastAsia" w:eastAsia="方正仿宋简体"/>
          <w:szCs w:val="32"/>
        </w:rPr>
        <w:t>保持第二次预算调整295000万元不变。</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（四）再融资专项债券转贷收入</w:t>
      </w:r>
    </w:p>
    <w:p>
      <w:pPr>
        <w:snapToGrid w:val="0"/>
        <w:spacing w:line="600" w:lineRule="exact"/>
        <w:ind w:firstLine="640" w:firstLineChars="200"/>
        <w:rPr>
          <w:rFonts w:hint="eastAsia" w:eastAsia="方正仿宋简体"/>
          <w:szCs w:val="32"/>
        </w:rPr>
      </w:pPr>
      <w:r>
        <w:rPr>
          <w:rFonts w:hint="eastAsia" w:eastAsia="方正仿宋简体"/>
          <w:szCs w:val="32"/>
        </w:rPr>
        <w:t>保持第二次预算调整25100万元不变。</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（五）上年结转</w:t>
      </w:r>
    </w:p>
    <w:p>
      <w:pPr>
        <w:snapToGrid w:val="0"/>
        <w:spacing w:line="600" w:lineRule="exact"/>
        <w:ind w:firstLine="640" w:firstLineChars="200"/>
        <w:rPr>
          <w:rFonts w:hint="eastAsia" w:eastAsia="方正仿宋简体"/>
          <w:szCs w:val="32"/>
        </w:rPr>
      </w:pPr>
      <w:r>
        <w:rPr>
          <w:rFonts w:hint="eastAsia" w:eastAsia="方正仿宋简体"/>
          <w:szCs w:val="32"/>
        </w:rPr>
        <w:t>保持第二次预算调整20702万元不变。</w:t>
      </w:r>
    </w:p>
    <w:p>
      <w:pPr>
        <w:snapToGrid w:val="0"/>
        <w:spacing w:line="600" w:lineRule="exact"/>
        <w:ind w:firstLine="640" w:firstLineChars="200"/>
        <w:rPr>
          <w:rFonts w:hint="eastAsia" w:eastAsia="方正楷体简体"/>
          <w:szCs w:val="32"/>
          <w:lang w:val="en-US" w:eastAsia="zh-CN"/>
        </w:rPr>
      </w:pPr>
      <w:r>
        <w:rPr>
          <w:rFonts w:hint="eastAsia" w:eastAsia="方正楷体简体"/>
          <w:szCs w:val="32"/>
          <w:lang w:val="en-US" w:eastAsia="zh-CN"/>
        </w:rPr>
        <w:t>（六）本级政府性基金支出</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434997万元，本次调整为367021万元，调减67976万元。调减项目主要为：一是将预算支出调整为使用存量资金支出12801万元；二是因收支缺口，将已支出项目调整为暂付款37128万元；三是按规定收回上年结转支出4862万元调入一般公共预算；四是按土地出让收入减少相应减少13185万元支出。年终将根据财政收入实际情况，调整暂付款挂账金额。（详见附表7、附表8）</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（七）上级专项支出</w:t>
      </w:r>
    </w:p>
    <w:p>
      <w:pPr>
        <w:snapToGrid w:val="0"/>
        <w:spacing w:line="600" w:lineRule="exact"/>
        <w:rPr>
          <w:rFonts w:hint="eastAsia" w:eastAsia="方正仿宋简体"/>
          <w:szCs w:val="32"/>
        </w:rPr>
      </w:pPr>
      <w:r>
        <w:rPr>
          <w:rFonts w:hint="eastAsia" w:eastAsia="方正仿宋简体"/>
          <w:szCs w:val="32"/>
        </w:rPr>
        <w:t>第二次预算调整7342万元，本次调整为861万元，调减6481万元。主要是截至目前上级追加专项补助资金相应安排的支出。（详见附表7）</w:t>
      </w:r>
    </w:p>
    <w:p>
      <w:pPr>
        <w:snapToGrid w:val="0"/>
        <w:spacing w:line="600" w:lineRule="exact"/>
        <w:ind w:firstLine="640" w:firstLineChars="200"/>
        <w:rPr>
          <w:rFonts w:hint="eastAsia" w:eastAsia="方正楷体简体"/>
          <w:szCs w:val="32"/>
          <w:lang w:val="en-US" w:eastAsia="zh-CN"/>
        </w:rPr>
      </w:pPr>
      <w:r>
        <w:rPr>
          <w:rFonts w:hint="eastAsia" w:eastAsia="方正楷体简体"/>
          <w:szCs w:val="32"/>
          <w:lang w:val="en-US" w:eastAsia="zh-CN"/>
        </w:rPr>
        <w:t>（八）调出资金</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第二次预算调整96402万元，本次调整为</w:t>
      </w:r>
      <w:r>
        <w:rPr>
          <w:rFonts w:hint="eastAsia" w:eastAsia="方正仿宋简体"/>
          <w:szCs w:val="32"/>
          <w:lang w:val="en-US" w:eastAsia="zh-CN"/>
        </w:rPr>
        <w:t>28262</w:t>
      </w:r>
      <w:r>
        <w:rPr>
          <w:rFonts w:hint="eastAsia" w:eastAsia="方正仿宋简体"/>
          <w:szCs w:val="32"/>
        </w:rPr>
        <w:t>万元，调减6</w:t>
      </w:r>
      <w:r>
        <w:rPr>
          <w:rFonts w:hint="eastAsia" w:eastAsia="方正仿宋简体"/>
          <w:szCs w:val="32"/>
          <w:lang w:val="en-US" w:eastAsia="zh-CN"/>
        </w:rPr>
        <w:t>8</w:t>
      </w:r>
      <w:r>
        <w:rPr>
          <w:rFonts w:hint="eastAsia" w:eastAsia="方正仿宋简体"/>
          <w:szCs w:val="32"/>
        </w:rPr>
        <w:t>140万元，其中：从国有土地使用权出让收入和城市基础设施配套费收入调出2</w:t>
      </w:r>
      <w:r>
        <w:rPr>
          <w:rFonts w:hint="eastAsia" w:eastAsia="方正仿宋简体"/>
          <w:szCs w:val="32"/>
          <w:lang w:val="en-US" w:eastAsia="zh-CN"/>
        </w:rPr>
        <w:t>34</w:t>
      </w:r>
      <w:r>
        <w:rPr>
          <w:rFonts w:hint="eastAsia" w:eastAsia="方正仿宋简体"/>
          <w:szCs w:val="32"/>
        </w:rPr>
        <w:t>00万元，按规定收回上级结转支出4862万元调入一般公共预算。（详见附表7）</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（九）政府性基金预算收支平衡情况</w:t>
      </w:r>
    </w:p>
    <w:p>
      <w:pPr>
        <w:snapToGrid w:val="0"/>
        <w:spacing w:line="600" w:lineRule="exact"/>
        <w:ind w:firstLine="640" w:firstLineChars="200"/>
        <w:rPr>
          <w:rFonts w:hint="eastAsia" w:eastAsia="方正仿宋简体"/>
          <w:szCs w:val="32"/>
        </w:rPr>
      </w:pPr>
      <w:r>
        <w:rPr>
          <w:rFonts w:hint="eastAsia" w:eastAsia="方正仿宋简体"/>
          <w:szCs w:val="32"/>
        </w:rPr>
        <w:t>综上，调整后收入合计</w:t>
      </w:r>
      <w:r>
        <w:rPr>
          <w:rFonts w:hint="eastAsia" w:eastAsia="方正仿宋简体"/>
          <w:szCs w:val="32"/>
          <w:lang w:val="en-US" w:eastAsia="zh-CN"/>
        </w:rPr>
        <w:t>401046</w:t>
      </w:r>
      <w:r>
        <w:rPr>
          <w:rFonts w:hint="eastAsia" w:eastAsia="方正仿宋简体"/>
          <w:szCs w:val="32"/>
        </w:rPr>
        <w:t>万元，支出合计</w:t>
      </w:r>
      <w:r>
        <w:rPr>
          <w:rFonts w:hint="eastAsia" w:eastAsia="方正仿宋简体"/>
          <w:szCs w:val="32"/>
          <w:lang w:val="en-US" w:eastAsia="zh-CN"/>
        </w:rPr>
        <w:t>396144</w:t>
      </w:r>
      <w:r>
        <w:rPr>
          <w:rFonts w:hint="eastAsia" w:eastAsia="方正仿宋简体"/>
          <w:szCs w:val="32"/>
        </w:rPr>
        <w:t>万元，收支相抵，结转结余4902万元，其中本级结余94万元，上级专项结转4808万元。</w:t>
      </w:r>
    </w:p>
    <w:p>
      <w:pPr>
        <w:adjustRightInd w:val="0"/>
        <w:spacing w:line="600" w:lineRule="exact"/>
        <w:ind w:firstLine="640" w:firstLineChars="200"/>
        <w:jc w:val="left"/>
        <w:rPr>
          <w:rFonts w:hint="eastAsia" w:eastAsia="方正黑体简体"/>
          <w:bCs/>
          <w:szCs w:val="32"/>
        </w:rPr>
      </w:pPr>
      <w:r>
        <w:rPr>
          <w:rFonts w:hint="eastAsia" w:eastAsia="方正黑体简体"/>
          <w:bCs/>
          <w:szCs w:val="32"/>
        </w:rPr>
        <w:t>三</w:t>
      </w:r>
      <w:r>
        <w:rPr>
          <w:rFonts w:hint="eastAsia" w:eastAsia="方正黑体简体"/>
          <w:bCs/>
          <w:szCs w:val="32"/>
          <w:lang w:eastAsia="zh-CN"/>
        </w:rPr>
        <w:t>、</w:t>
      </w:r>
      <w:r>
        <w:rPr>
          <w:rFonts w:hint="eastAsia" w:eastAsia="方正黑体简体"/>
          <w:bCs/>
          <w:szCs w:val="32"/>
        </w:rPr>
        <w:t>国有资本经营预算调整方面</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（一）本级国有资本经营预算收入</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第二次预算调整75万元，调整为593万元，调增518万元（详见附表9）。主要是调增城建投集团公司上缴河渡盐场土地征用补偿款。</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（二）上级专项补助收入</w:t>
      </w:r>
    </w:p>
    <w:p>
      <w:pPr>
        <w:snapToGrid w:val="0"/>
        <w:spacing w:line="600" w:lineRule="exact"/>
        <w:ind w:firstLine="640" w:firstLineChars="200"/>
        <w:rPr>
          <w:rFonts w:hint="eastAsia" w:eastAsia="方正仿宋简体"/>
          <w:szCs w:val="32"/>
        </w:rPr>
      </w:pPr>
      <w:r>
        <w:rPr>
          <w:rFonts w:hint="eastAsia" w:eastAsia="方正仿宋简体"/>
          <w:szCs w:val="32"/>
        </w:rPr>
        <w:t>保持第二次预算调整7万元不变。</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（三）上年结转</w:t>
      </w:r>
    </w:p>
    <w:p>
      <w:pPr>
        <w:snapToGrid w:val="0"/>
        <w:spacing w:line="600" w:lineRule="exact"/>
        <w:ind w:firstLine="640" w:firstLineChars="200"/>
        <w:rPr>
          <w:rFonts w:hint="eastAsia" w:eastAsia="方正仿宋简体"/>
          <w:szCs w:val="32"/>
        </w:rPr>
      </w:pPr>
      <w:r>
        <w:rPr>
          <w:rFonts w:hint="eastAsia" w:eastAsia="方正仿宋简体"/>
          <w:szCs w:val="32"/>
        </w:rPr>
        <w:t>保持第二次预算调整1026万元不变。</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（四）本级国有资本经营预算支出</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第二次预算调整1078万元，调整为4万元，调减1074万元（详见附表10）。主要是调减国有资本经营预算预留经费1016万元，调减解决历史遗留问题经费52万元，调减国有企业退休人员社会化管理补助经费6万。</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（五）上级专项支出</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第二次预算调整7万元，本次调整为2万元，调减5万元。</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（六）调出资金</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第二次预算调整23万元，调整为9</w:t>
      </w:r>
      <w:r>
        <w:rPr>
          <w:rFonts w:hint="eastAsia" w:eastAsia="方正仿宋简体"/>
          <w:szCs w:val="32"/>
          <w:lang w:val="en-US" w:eastAsia="zh-CN"/>
        </w:rPr>
        <w:t>00</w:t>
      </w:r>
      <w:r>
        <w:rPr>
          <w:rFonts w:hint="eastAsia" w:eastAsia="方正仿宋简体"/>
          <w:szCs w:val="32"/>
        </w:rPr>
        <w:t>万元，调增</w:t>
      </w:r>
      <w:r>
        <w:rPr>
          <w:rFonts w:hint="eastAsia" w:eastAsia="方正仿宋简体"/>
          <w:szCs w:val="32"/>
          <w:lang w:val="en-US" w:eastAsia="zh-CN"/>
        </w:rPr>
        <w:t>877</w:t>
      </w:r>
      <w:r>
        <w:rPr>
          <w:rFonts w:hint="eastAsia" w:eastAsia="方正仿宋简体"/>
          <w:szCs w:val="32"/>
        </w:rPr>
        <w:t>万元。</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（七）国有资本经营预算收支平衡情况</w:t>
      </w:r>
    </w:p>
    <w:p>
      <w:pPr>
        <w:snapToGrid w:val="0"/>
        <w:spacing w:line="600" w:lineRule="exact"/>
        <w:ind w:firstLine="640" w:firstLineChars="200"/>
        <w:rPr>
          <w:rFonts w:hint="eastAsia" w:eastAsia="方正仿宋简体"/>
          <w:szCs w:val="32"/>
        </w:rPr>
      </w:pPr>
      <w:r>
        <w:rPr>
          <w:rFonts w:hint="eastAsia" w:eastAsia="方正仿宋简体"/>
          <w:szCs w:val="32"/>
        </w:rPr>
        <w:t>综上，调整后收入合计1626万元，支出合计</w:t>
      </w:r>
      <w:r>
        <w:rPr>
          <w:rFonts w:hint="eastAsia" w:eastAsia="方正仿宋简体"/>
          <w:szCs w:val="32"/>
          <w:lang w:val="en-US" w:eastAsia="zh-CN"/>
        </w:rPr>
        <w:t>906</w:t>
      </w:r>
      <w:r>
        <w:rPr>
          <w:rFonts w:hint="eastAsia" w:eastAsia="方正仿宋简体"/>
          <w:szCs w:val="32"/>
        </w:rPr>
        <w:t>万元，收支相抵，结转结余</w:t>
      </w:r>
      <w:r>
        <w:rPr>
          <w:rFonts w:hint="eastAsia" w:eastAsia="方正仿宋简体"/>
          <w:szCs w:val="32"/>
          <w:lang w:val="en-US" w:eastAsia="zh-CN"/>
        </w:rPr>
        <w:t>720</w:t>
      </w:r>
      <w:r>
        <w:rPr>
          <w:rFonts w:hint="eastAsia" w:eastAsia="方正仿宋简体"/>
          <w:szCs w:val="32"/>
        </w:rPr>
        <w:t>万元，其中：本级结转</w:t>
      </w:r>
      <w:r>
        <w:rPr>
          <w:rFonts w:hint="eastAsia" w:eastAsia="方正仿宋简体"/>
          <w:szCs w:val="32"/>
          <w:lang w:val="en-US" w:eastAsia="zh-CN"/>
        </w:rPr>
        <w:t>715</w:t>
      </w:r>
      <w:r>
        <w:rPr>
          <w:rFonts w:hint="eastAsia" w:eastAsia="方正仿宋简体"/>
          <w:szCs w:val="32"/>
        </w:rPr>
        <w:t>万元，上级专项结转5万元。（详见附表9、附表10）</w:t>
      </w:r>
    </w:p>
    <w:p>
      <w:pPr>
        <w:numPr>
          <w:ilvl w:val="0"/>
          <w:numId w:val="1"/>
        </w:numPr>
        <w:adjustRightInd w:val="0"/>
        <w:spacing w:line="600" w:lineRule="exact"/>
        <w:ind w:firstLine="640" w:firstLineChars="200"/>
        <w:jc w:val="left"/>
        <w:rPr>
          <w:rFonts w:hint="eastAsia" w:eastAsia="方正黑体简体"/>
          <w:bCs/>
          <w:szCs w:val="32"/>
        </w:rPr>
      </w:pPr>
      <w:r>
        <w:rPr>
          <w:rFonts w:hint="eastAsia" w:eastAsia="方正黑体简体"/>
          <w:bCs/>
          <w:szCs w:val="32"/>
        </w:rPr>
        <w:t>社会保险基金预算调整方面</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（一）社会保险基金预算收入</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66662万元，调整为55034万元，调减11628万元。其中：城乡居民养老从43456万元调整为39972万元，调减3484万元；机关事业养老从23206万元调整为15062万元，调减8144万元。调减因素：一是城乡居民基本养老保险财政补助收入下达数减少；二是根据本年度机关事业单位养老保险基金收支结余情况，预计基金结余足以拨付待遇支出，调减机关养老保险财政补助收入。</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（二）社会保险基金预算支出</w:t>
      </w:r>
    </w:p>
    <w:p>
      <w:pPr>
        <w:snapToGrid w:val="0"/>
        <w:spacing w:line="600" w:lineRule="exact"/>
        <w:ind w:firstLine="640" w:firstLineChars="200"/>
        <w:rPr>
          <w:rFonts w:hint="eastAsia" w:eastAsia="方正仿宋简体"/>
          <w:szCs w:val="32"/>
        </w:rPr>
      </w:pPr>
      <w:r>
        <w:rPr>
          <w:rFonts w:hint="eastAsia" w:eastAsia="方正仿宋简体"/>
          <w:szCs w:val="32"/>
        </w:rPr>
        <w:t>第二次预算调整23796万元，调整为24372万元，调增576万元。其中：城乡居民养老保险从10193万元调整为10605万元，调增412万元；机关事业养老保险从13603万元调整为13767万元，调增164万元。调增的主要因素是：本年度城乡居民养老保险加快被征地农民养老保障资金分配进度，个人账户养老金支出增幅较大。</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（三）社会保险基金预算收支平衡情况</w:t>
      </w:r>
    </w:p>
    <w:p>
      <w:pPr>
        <w:snapToGrid w:val="0"/>
        <w:spacing w:line="600" w:lineRule="exact"/>
        <w:ind w:firstLine="640" w:firstLineChars="200"/>
        <w:rPr>
          <w:rFonts w:hint="eastAsia" w:eastAsia="方正仿宋简体"/>
          <w:szCs w:val="32"/>
        </w:rPr>
      </w:pPr>
      <w:r>
        <w:rPr>
          <w:rFonts w:hint="eastAsia" w:eastAsia="方正仿宋简体"/>
          <w:szCs w:val="32"/>
        </w:rPr>
        <w:t>综上，加上上年结余34975万元，减去转移性支出108万元，收支相抵，累计结余65529万元，其中城乡居民养老结余49061万元，机关事业养老结余16468万元。（详见附表</w:t>
      </w:r>
      <w:r>
        <w:rPr>
          <w:rFonts w:hint="eastAsia" w:eastAsia="方正仿宋简体"/>
          <w:szCs w:val="32"/>
          <w:lang w:val="en-US" w:eastAsia="zh-CN"/>
        </w:rPr>
        <w:t>11</w:t>
      </w:r>
      <w:r>
        <w:rPr>
          <w:rFonts w:hint="eastAsia" w:eastAsia="方正仿宋简体"/>
          <w:szCs w:val="32"/>
        </w:rPr>
        <w:t>、附表</w:t>
      </w:r>
      <w:r>
        <w:rPr>
          <w:rFonts w:hint="eastAsia" w:eastAsia="方正仿宋简体"/>
          <w:szCs w:val="32"/>
          <w:lang w:val="en-US" w:eastAsia="zh-CN"/>
        </w:rPr>
        <w:t>12</w:t>
      </w:r>
      <w:r>
        <w:rPr>
          <w:rFonts w:hint="eastAsia" w:eastAsia="方正仿宋简体"/>
          <w:szCs w:val="32"/>
        </w:rPr>
        <w:t>）</w:t>
      </w:r>
    </w:p>
    <w:p>
      <w:pPr>
        <w:adjustRightInd w:val="0"/>
        <w:spacing w:line="600" w:lineRule="exact"/>
        <w:ind w:firstLine="640" w:firstLineChars="200"/>
        <w:jc w:val="left"/>
        <w:rPr>
          <w:rFonts w:hint="eastAsia" w:eastAsia="方正黑体简体"/>
          <w:bCs/>
          <w:szCs w:val="32"/>
        </w:rPr>
      </w:pPr>
      <w:r>
        <w:rPr>
          <w:rFonts w:hint="eastAsia" w:eastAsia="方正黑体简体"/>
          <w:bCs/>
          <w:szCs w:val="32"/>
        </w:rPr>
        <w:t>五</w:t>
      </w:r>
      <w:r>
        <w:rPr>
          <w:rFonts w:hint="eastAsia" w:eastAsia="方正黑体简体"/>
          <w:bCs/>
          <w:szCs w:val="32"/>
          <w:lang w:eastAsia="zh-CN"/>
        </w:rPr>
        <w:t>、</w:t>
      </w:r>
      <w:r>
        <w:rPr>
          <w:rFonts w:hint="eastAsia" w:eastAsia="方正黑体简体"/>
          <w:bCs/>
          <w:szCs w:val="32"/>
        </w:rPr>
        <w:t>政府性债务情况</w:t>
      </w:r>
    </w:p>
    <w:p>
      <w:pPr>
        <w:snapToGrid w:val="0"/>
        <w:spacing w:line="600" w:lineRule="exact"/>
        <w:ind w:firstLine="640" w:firstLineChars="200"/>
        <w:rPr>
          <w:rFonts w:hint="eastAsia" w:eastAsia="方正仿宋简体"/>
          <w:szCs w:val="32"/>
        </w:rPr>
      </w:pPr>
      <w:r>
        <w:rPr>
          <w:rFonts w:hint="eastAsia" w:eastAsia="方正仿宋简体"/>
          <w:szCs w:val="32"/>
        </w:rPr>
        <w:t>截至2022年11月底，全区政府债务余额866993万元，其中：一般债务126693万元（非债券债务443万元）、专项债务740300万元，本次不作调整。</w:t>
      </w:r>
    </w:p>
    <w:p>
      <w:pPr>
        <w:adjustRightInd w:val="0"/>
        <w:spacing w:line="600" w:lineRule="exact"/>
        <w:ind w:firstLine="640" w:firstLineChars="200"/>
        <w:jc w:val="left"/>
        <w:rPr>
          <w:rFonts w:hint="eastAsia" w:eastAsia="方正黑体简体"/>
          <w:bCs/>
          <w:szCs w:val="32"/>
        </w:rPr>
      </w:pPr>
      <w:r>
        <w:rPr>
          <w:rFonts w:hint="eastAsia" w:eastAsia="方正黑体简体"/>
          <w:bCs/>
          <w:szCs w:val="32"/>
        </w:rPr>
        <w:t>六、盘活存量财政资金及使用方面</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（一）收回情况</w:t>
      </w:r>
    </w:p>
    <w:p>
      <w:pPr>
        <w:snapToGrid w:val="0"/>
        <w:spacing w:line="600" w:lineRule="exact"/>
        <w:ind w:firstLine="640" w:firstLineChars="200"/>
        <w:rPr>
          <w:rFonts w:hint="eastAsia" w:eastAsia="方正仿宋简体"/>
          <w:szCs w:val="32"/>
        </w:rPr>
      </w:pPr>
      <w:r>
        <w:rPr>
          <w:rFonts w:hint="eastAsia" w:eastAsia="方正仿宋简体"/>
          <w:szCs w:val="32"/>
        </w:rPr>
        <w:t>预计截至11月底，我区今年收回存量且未安排的资金15516万元，其中各单位实有账户缴入1648万元，重新收回原年初预算安排使用的上级转移支付资金重安排项目7989万元、因2021年度库款原因部门申请支出但年终被调减项目5283万元和预留建设前期及其他经费596万元。（详见附表1</w:t>
      </w:r>
      <w:r>
        <w:rPr>
          <w:rFonts w:hint="eastAsia" w:eastAsia="方正仿宋简体"/>
          <w:szCs w:val="32"/>
          <w:lang w:val="en-US" w:eastAsia="zh-CN"/>
        </w:rPr>
        <w:t>3</w:t>
      </w:r>
      <w:r>
        <w:rPr>
          <w:rFonts w:hint="eastAsia" w:eastAsia="方正仿宋简体"/>
          <w:szCs w:val="32"/>
        </w:rPr>
        <w:t>）</w:t>
      </w:r>
    </w:p>
    <w:p>
      <w:pPr>
        <w:numPr>
          <w:ilvl w:val="0"/>
          <w:numId w:val="0"/>
        </w:numPr>
        <w:adjustRightInd w:val="0"/>
        <w:spacing w:line="600" w:lineRule="exact"/>
        <w:ind w:firstLine="640" w:firstLineChars="200"/>
        <w:jc w:val="left"/>
        <w:rPr>
          <w:rFonts w:hint="eastAsia" w:eastAsia="方正楷体简体"/>
          <w:szCs w:val="32"/>
          <w:lang w:val="en-US" w:eastAsia="zh-CN"/>
        </w:rPr>
      </w:pPr>
      <w:r>
        <w:rPr>
          <w:rFonts w:hint="eastAsia" w:eastAsia="方正楷体简体"/>
          <w:szCs w:val="32"/>
          <w:lang w:val="en-US" w:eastAsia="zh-CN"/>
        </w:rPr>
        <w:t>（二）安排情况</w:t>
      </w:r>
    </w:p>
    <w:p>
      <w:pPr>
        <w:snapToGrid w:val="0"/>
        <w:spacing w:line="600" w:lineRule="exact"/>
        <w:ind w:firstLine="640" w:firstLineChars="200"/>
        <w:rPr>
          <w:rFonts w:hint="eastAsia" w:eastAsia="方正仿宋简体"/>
          <w:szCs w:val="32"/>
          <w:lang w:eastAsia="zh-CN"/>
        </w:rPr>
      </w:pPr>
      <w:r>
        <w:rPr>
          <w:rFonts w:hint="eastAsia" w:eastAsia="方正仿宋简体"/>
          <w:szCs w:val="32"/>
        </w:rPr>
        <w:t>拟将收回存量资金安排用于滨海街道40万元和消化茂洲片区新型城镇化综合开发PPP项目等2021年压支挂账15476万元，合计安排支出15516万元。（详见附表1</w:t>
      </w:r>
      <w:r>
        <w:rPr>
          <w:rFonts w:hint="eastAsia" w:eastAsia="方正仿宋简体"/>
          <w:szCs w:val="32"/>
          <w:lang w:val="en-US" w:eastAsia="zh-CN"/>
        </w:rPr>
        <w:t>3</w:t>
      </w:r>
      <w:r>
        <w:rPr>
          <w:rFonts w:hint="eastAsia" w:eastAsia="方正仿宋简体"/>
          <w:szCs w:val="32"/>
        </w:rPr>
        <w:t>）</w:t>
      </w:r>
    </w:p>
    <w:p>
      <w:pPr>
        <w:snapToGrid w:val="0"/>
        <w:spacing w:line="600" w:lineRule="exact"/>
        <w:ind w:firstLine="640" w:firstLineChars="200"/>
        <w:rPr>
          <w:rFonts w:eastAsia="方正仿宋简体"/>
          <w:szCs w:val="32"/>
        </w:rPr>
      </w:pPr>
      <w:r>
        <w:rPr>
          <w:rFonts w:eastAsia="方正仿宋简体"/>
          <w:szCs w:val="32"/>
        </w:rPr>
        <w:t>以上报告，请予审议。</w:t>
      </w:r>
    </w:p>
    <w:p>
      <w:pPr>
        <w:snapToGrid w:val="0"/>
        <w:spacing w:line="600" w:lineRule="exact"/>
        <w:ind w:firstLine="640" w:firstLineChars="200"/>
        <w:rPr>
          <w:rFonts w:hint="eastAsia" w:eastAsia="方正仿宋简体"/>
          <w:szCs w:val="32"/>
          <w:lang w:val="en-US" w:eastAsia="zh-CN"/>
        </w:rPr>
      </w:pPr>
    </w:p>
    <w:sectPr>
      <w:headerReference r:id="rId4" w:type="first"/>
      <w:footerReference r:id="rId6" w:type="first"/>
      <w:headerReference r:id="rId3" w:type="default"/>
      <w:footerReference r:id="rId5" w:type="default"/>
      <w:pgSz w:w="11906" w:h="16838"/>
      <w:pgMar w:top="1587" w:right="1361" w:bottom="1247" w:left="1361" w:header="720" w:footer="1020" w:gutter="0"/>
      <w:pgNumType w:fmt="decimalFullWidt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67C1FFA-12B1-463D-BF3E-8B10DEE220DB}"/>
  </w:font>
  <w:font w:name="Arial">
    <w:panose1 w:val="020B0604020202020204"/>
    <w:charset w:val="01"/>
    <w:family w:val="swiss"/>
    <w:pitch w:val="default"/>
    <w:sig w:usb0="E0002EFF" w:usb1="C000785B" w:usb2="00000009" w:usb3="00000000" w:csb0="400001FF" w:csb1="FFFF0000"/>
    <w:embedRegular r:id="rId2" w:fontKey="{8F5C0B79-D725-4229-835B-25627FBFD65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89132198-67CD-4065-83B1-E7637C76246B}"/>
  </w:font>
  <w:font w:name="Symbol">
    <w:panose1 w:val="05050102010706020507"/>
    <w:charset w:val="02"/>
    <w:family w:val="roman"/>
    <w:pitch w:val="default"/>
    <w:sig w:usb0="00000000" w:usb1="00000000" w:usb2="00000000" w:usb3="00000000" w:csb0="80000000" w:csb1="00000000"/>
    <w:embedRegular r:id="rId4" w:fontKey="{76C54879-BC92-452F-AE6E-6CD41259E465}"/>
  </w:font>
  <w:font w:name="Calibri">
    <w:panose1 w:val="020F0502020204030204"/>
    <w:charset w:val="00"/>
    <w:family w:val="swiss"/>
    <w:pitch w:val="default"/>
    <w:sig w:usb0="E0002EFF" w:usb1="C000247B" w:usb2="00000009" w:usb3="00000000" w:csb0="200001FF" w:csb1="00000000"/>
    <w:embedRegular r:id="rId5" w:fontKey="{C177B140-F370-4422-82B2-10050012DDF5}"/>
  </w:font>
  <w:font w:name="仿宋_GB2312">
    <w:panose1 w:val="02010609030101010101"/>
    <w:charset w:val="86"/>
    <w:family w:val="modern"/>
    <w:pitch w:val="default"/>
    <w:sig w:usb0="00000001" w:usb1="080E0000" w:usb2="00000000" w:usb3="00000000" w:csb0="00040000" w:csb1="00000000"/>
    <w:embedRegular r:id="rId6" w:fontKey="{19197B8F-01D7-4860-BC4F-660CB1BA4125}"/>
  </w:font>
  <w:font w:name="Cambria">
    <w:panose1 w:val="02040503050406030204"/>
    <w:charset w:val="00"/>
    <w:family w:val="roman"/>
    <w:pitch w:val="default"/>
    <w:sig w:usb0="E00006FF" w:usb1="420024FF" w:usb2="02000000" w:usb3="00000000" w:csb0="2000019F" w:csb1="00000000"/>
    <w:embedRegular r:id="rId7" w:fontKey="{425DFC2E-03D6-43D4-972B-DCD12D476840}"/>
  </w:font>
  <w:font w:name="方正小标宋_GBK">
    <w:panose1 w:val="03000509000000000000"/>
    <w:charset w:val="86"/>
    <w:family w:val="auto"/>
    <w:pitch w:val="default"/>
    <w:sig w:usb0="00000001" w:usb1="080E0000" w:usb2="00000000" w:usb3="00000000" w:csb0="00040000" w:csb1="00000000"/>
    <w:embedRegular r:id="rId8" w:fontKey="{4CD0AC15-2F4B-431A-9747-5578D8A6BDD2}"/>
  </w:font>
  <w:font w:name="方正楷体简体">
    <w:panose1 w:val="03000509000000000000"/>
    <w:charset w:val="86"/>
    <w:family w:val="auto"/>
    <w:pitch w:val="default"/>
    <w:sig w:usb0="00000001" w:usb1="080E0000" w:usb2="00000000" w:usb3="00000000" w:csb0="00040000" w:csb1="00000000"/>
    <w:embedRegular r:id="rId9" w:fontKey="{064E1D93-666F-43FD-AB29-A92AAC03199D}"/>
  </w:font>
  <w:font w:name="楷体_GB2312">
    <w:panose1 w:val="02010609030101010101"/>
    <w:charset w:val="86"/>
    <w:family w:val="modern"/>
    <w:pitch w:val="default"/>
    <w:sig w:usb0="00000001" w:usb1="080E0000" w:usb2="00000000" w:usb3="00000000" w:csb0="00040000" w:csb1="00000000"/>
    <w:embedRegular r:id="rId10" w:fontKey="{68BADC42-164C-4D3A-90BD-3FC1B0D46790}"/>
  </w:font>
  <w:font w:name="方正仿宋简体">
    <w:panose1 w:val="03000509000000000000"/>
    <w:charset w:val="86"/>
    <w:family w:val="script"/>
    <w:pitch w:val="default"/>
    <w:sig w:usb0="00000001" w:usb1="080E0000" w:usb2="00000000" w:usb3="00000000" w:csb0="00040000" w:csb1="00000000"/>
    <w:embedRegular r:id="rId11" w:fontKey="{6FEB1116-BCDF-457A-A2F6-9CB610C9F796}"/>
  </w:font>
  <w:font w:name="方正黑体简体">
    <w:panose1 w:val="03000509000000000000"/>
    <w:charset w:val="86"/>
    <w:family w:val="script"/>
    <w:pitch w:val="default"/>
    <w:sig w:usb0="00000001" w:usb1="080E0000" w:usb2="00000000" w:usb3="00000000" w:csb0="00040000" w:csb1="00000000"/>
    <w:embedRegular r:id="rId12" w:fontKey="{3F8FEC34-B5DC-4CF5-B2C6-C3040D26BD1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１</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9"/>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１</w:t>
                    </w:r>
                    <w:r>
                      <w:rPr>
                        <w:rFonts w:hint="default" w:ascii="Times New Roman" w:hAnsi="Times New Roman" w:cs="Times New Roman"/>
                        <w:sz w:val="24"/>
                        <w:szCs w:val="24"/>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15135" cy="762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715135" cy="76200"/>
                      </a:xfrm>
                      <a:prstGeom prst="rect">
                        <a:avLst/>
                      </a:prstGeom>
                      <a:noFill/>
                      <a:ln>
                        <a:noFill/>
                      </a:ln>
                    </wps:spPr>
                    <wps:txbx>
                      <w:txbxContent>
                        <w:p>
                          <w:pPr>
                            <w:pStyle w:val="9"/>
                            <w:rPr>
                              <w:rFonts w:hint="eastAsia" w:eastAsia="宋体"/>
                              <w:sz w:val="24"/>
                              <w:szCs w:val="24"/>
                              <w:lang w:eastAsia="zh-CN"/>
                            </w:rPr>
                          </w:pPr>
                        </w:p>
                      </w:txbxContent>
                    </wps:txbx>
                    <wps:bodyPr vert="horz" wrap="square" lIns="0" tIns="0" rIns="0" bIns="0" anchor="t" anchorCtr="0" upright="0">
                      <a:noAutofit/>
                    </wps:bodyPr>
                  </wps:wsp>
                </a:graphicData>
              </a:graphic>
            </wp:anchor>
          </w:drawing>
        </mc:Choice>
        <mc:Fallback>
          <w:pict>
            <v:shape id="文本框 1027" o:spid="_x0000_s1026" o:spt="202" type="#_x0000_t202" style="position:absolute;left:0pt;margin-top:0pt;height:6pt;width:135.05pt;mso-position-horizontal:center;mso-position-horizontal-relative:margin;z-index:251659264;mso-width-relative:page;mso-height-relative:page;" filled="f" stroked="f" coordsize="21600,21600" o:gfxdata="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08op29MAAAAEAQAA&#10;DwAAAAAAAAABACAAAAAiAAAAZHJzL2Rvd25yZXYueG1sUEsBAhQAFAAAAAgAh07iQPOoydXlAQAA&#10;wQMAAA4AAAAAAAAAAQAgAAAAIgEAAGRycy9lMm9Eb2MueG1sUEsFBgAAAAAGAAYAWQEAAHkFAAAA&#10;AA==&#10;">
              <v:fill on="f" focussize="0,0"/>
              <v:stroke on="f"/>
              <v:imagedata o:title=""/>
              <o:lock v:ext="edit" aspectratio="f"/>
              <v:textbox inset="0mm,0mm,0mm,0mm">
                <w:txbxContent>
                  <w:p>
                    <w:pPr>
                      <w:pStyle w:val="9"/>
                      <w:rPr>
                        <w:rFonts w:hint="eastAsia" w:eastAsia="宋体"/>
                        <w:sz w:val="24"/>
                        <w:szCs w:val="24"/>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wps:txbx>
                    <wps:bodyPr vert="horz" wrap="none" lIns="0" tIns="0" rIns="0" bIns="0" anchor="t" anchorCtr="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BQbSd8BAADBAwAADgAAAAAA&#10;AAABACAAAAAeAQAAZHJzL2Uyb0RvYy54bWxQSwUGAAAAAAYABgBZAQAAbwUAAAAA&#10;">
              <v:fill on="f" focussize="0,0"/>
              <v:stroke on="f"/>
              <v:imagedata o:title=""/>
              <o:lock v:ext="edit" aspectratio="f"/>
              <v:textbox inset="0mm,0mm,0mm,0mm" style="mso-fit-shape-to-text:t;">
                <w:txbxContent>
                  <w:p>
                    <w:pPr>
                      <w:pStyle w:val="9"/>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B527BC"/>
    <w:multiLevelType w:val="singleLevel"/>
    <w:tmpl w:val="C1B527B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jZTNjOGUwYzA5MWE0OTE4ZjhhMDk0OTFkZGM4M2MifQ=="/>
  </w:docVars>
  <w:rsids>
    <w:rsidRoot w:val="00E9028B"/>
    <w:rsid w:val="0000113C"/>
    <w:rsid w:val="0000161B"/>
    <w:rsid w:val="000020E6"/>
    <w:rsid w:val="00003D7E"/>
    <w:rsid w:val="0001231C"/>
    <w:rsid w:val="000144FD"/>
    <w:rsid w:val="000152AB"/>
    <w:rsid w:val="000160D0"/>
    <w:rsid w:val="000215C9"/>
    <w:rsid w:val="000227E2"/>
    <w:rsid w:val="00024C2F"/>
    <w:rsid w:val="0002702D"/>
    <w:rsid w:val="00027327"/>
    <w:rsid w:val="000273D4"/>
    <w:rsid w:val="00030EB7"/>
    <w:rsid w:val="00037A64"/>
    <w:rsid w:val="00040294"/>
    <w:rsid w:val="000459E2"/>
    <w:rsid w:val="00045CFB"/>
    <w:rsid w:val="000466A2"/>
    <w:rsid w:val="000468D5"/>
    <w:rsid w:val="00050A46"/>
    <w:rsid w:val="00050C8B"/>
    <w:rsid w:val="00051846"/>
    <w:rsid w:val="000523BA"/>
    <w:rsid w:val="00053A34"/>
    <w:rsid w:val="000542C5"/>
    <w:rsid w:val="0005544F"/>
    <w:rsid w:val="00057829"/>
    <w:rsid w:val="00060CE0"/>
    <w:rsid w:val="00061DB7"/>
    <w:rsid w:val="00062E1B"/>
    <w:rsid w:val="0006305C"/>
    <w:rsid w:val="00065244"/>
    <w:rsid w:val="0007423E"/>
    <w:rsid w:val="000837F9"/>
    <w:rsid w:val="00087820"/>
    <w:rsid w:val="000939A5"/>
    <w:rsid w:val="000A1D26"/>
    <w:rsid w:val="000A23B2"/>
    <w:rsid w:val="000A3263"/>
    <w:rsid w:val="000A5351"/>
    <w:rsid w:val="000A6FB0"/>
    <w:rsid w:val="000A7089"/>
    <w:rsid w:val="000B605C"/>
    <w:rsid w:val="000B69ED"/>
    <w:rsid w:val="000B7763"/>
    <w:rsid w:val="000B7A49"/>
    <w:rsid w:val="000C00CC"/>
    <w:rsid w:val="000C1615"/>
    <w:rsid w:val="000C56CE"/>
    <w:rsid w:val="000C7A3C"/>
    <w:rsid w:val="000D42A8"/>
    <w:rsid w:val="000D6BF2"/>
    <w:rsid w:val="000D7E8B"/>
    <w:rsid w:val="000E0197"/>
    <w:rsid w:val="000E29F3"/>
    <w:rsid w:val="000E4A07"/>
    <w:rsid w:val="000E4C2A"/>
    <w:rsid w:val="000E6CA6"/>
    <w:rsid w:val="000E79A2"/>
    <w:rsid w:val="000F2A68"/>
    <w:rsid w:val="000F3DB1"/>
    <w:rsid w:val="00101387"/>
    <w:rsid w:val="001019F3"/>
    <w:rsid w:val="0010296F"/>
    <w:rsid w:val="001037CA"/>
    <w:rsid w:val="00104E68"/>
    <w:rsid w:val="001102F7"/>
    <w:rsid w:val="00116F37"/>
    <w:rsid w:val="00117509"/>
    <w:rsid w:val="0012603D"/>
    <w:rsid w:val="00126293"/>
    <w:rsid w:val="001264F7"/>
    <w:rsid w:val="00133E42"/>
    <w:rsid w:val="00137A23"/>
    <w:rsid w:val="00142AB7"/>
    <w:rsid w:val="001437CD"/>
    <w:rsid w:val="00145A7F"/>
    <w:rsid w:val="00146BA0"/>
    <w:rsid w:val="00151C84"/>
    <w:rsid w:val="00152190"/>
    <w:rsid w:val="0015255F"/>
    <w:rsid w:val="00153B77"/>
    <w:rsid w:val="00154021"/>
    <w:rsid w:val="00155EAC"/>
    <w:rsid w:val="00156AF0"/>
    <w:rsid w:val="00156F0F"/>
    <w:rsid w:val="001652F3"/>
    <w:rsid w:val="0017187C"/>
    <w:rsid w:val="0017249C"/>
    <w:rsid w:val="001724F8"/>
    <w:rsid w:val="00175FC4"/>
    <w:rsid w:val="0018326A"/>
    <w:rsid w:val="00183335"/>
    <w:rsid w:val="001843C5"/>
    <w:rsid w:val="0018506E"/>
    <w:rsid w:val="00185F0B"/>
    <w:rsid w:val="00187195"/>
    <w:rsid w:val="001928F1"/>
    <w:rsid w:val="00193228"/>
    <w:rsid w:val="00194ABD"/>
    <w:rsid w:val="00197592"/>
    <w:rsid w:val="001A10F0"/>
    <w:rsid w:val="001A4883"/>
    <w:rsid w:val="001A5932"/>
    <w:rsid w:val="001A6B1F"/>
    <w:rsid w:val="001B2373"/>
    <w:rsid w:val="001B23EB"/>
    <w:rsid w:val="001B4719"/>
    <w:rsid w:val="001B4CDF"/>
    <w:rsid w:val="001C4082"/>
    <w:rsid w:val="001C5807"/>
    <w:rsid w:val="001D046B"/>
    <w:rsid w:val="001D3D03"/>
    <w:rsid w:val="001D6CAC"/>
    <w:rsid w:val="001E1942"/>
    <w:rsid w:val="001E244A"/>
    <w:rsid w:val="001E6A60"/>
    <w:rsid w:val="001F1FFE"/>
    <w:rsid w:val="001F3F65"/>
    <w:rsid w:val="00203271"/>
    <w:rsid w:val="002042C4"/>
    <w:rsid w:val="00205993"/>
    <w:rsid w:val="00206889"/>
    <w:rsid w:val="00206B2B"/>
    <w:rsid w:val="00207D18"/>
    <w:rsid w:val="002129BF"/>
    <w:rsid w:val="0021303A"/>
    <w:rsid w:val="00216B09"/>
    <w:rsid w:val="00221B58"/>
    <w:rsid w:val="00221DF8"/>
    <w:rsid w:val="002256F2"/>
    <w:rsid w:val="00227150"/>
    <w:rsid w:val="00227197"/>
    <w:rsid w:val="00237CF0"/>
    <w:rsid w:val="0024022D"/>
    <w:rsid w:val="00241121"/>
    <w:rsid w:val="002462ED"/>
    <w:rsid w:val="00247D26"/>
    <w:rsid w:val="002525E9"/>
    <w:rsid w:val="00254077"/>
    <w:rsid w:val="00255202"/>
    <w:rsid w:val="00255B55"/>
    <w:rsid w:val="00261FD7"/>
    <w:rsid w:val="002621FA"/>
    <w:rsid w:val="00265B41"/>
    <w:rsid w:val="002701FF"/>
    <w:rsid w:val="00272623"/>
    <w:rsid w:val="00272CC3"/>
    <w:rsid w:val="00276B53"/>
    <w:rsid w:val="00276EC2"/>
    <w:rsid w:val="00277FA0"/>
    <w:rsid w:val="002801C6"/>
    <w:rsid w:val="0028122C"/>
    <w:rsid w:val="00281C66"/>
    <w:rsid w:val="00283B57"/>
    <w:rsid w:val="00284B82"/>
    <w:rsid w:val="00285453"/>
    <w:rsid w:val="00285FB0"/>
    <w:rsid w:val="00286C49"/>
    <w:rsid w:val="00290228"/>
    <w:rsid w:val="002943F8"/>
    <w:rsid w:val="00294538"/>
    <w:rsid w:val="00296F6D"/>
    <w:rsid w:val="00297B14"/>
    <w:rsid w:val="00297C8B"/>
    <w:rsid w:val="002A23DE"/>
    <w:rsid w:val="002A3D57"/>
    <w:rsid w:val="002A49A4"/>
    <w:rsid w:val="002A49B1"/>
    <w:rsid w:val="002B37E5"/>
    <w:rsid w:val="002B4271"/>
    <w:rsid w:val="002D478A"/>
    <w:rsid w:val="002D5696"/>
    <w:rsid w:val="002D7B1D"/>
    <w:rsid w:val="002D7E3C"/>
    <w:rsid w:val="002E0653"/>
    <w:rsid w:val="002E1B2C"/>
    <w:rsid w:val="002E3C5B"/>
    <w:rsid w:val="002F1D5A"/>
    <w:rsid w:val="002F3318"/>
    <w:rsid w:val="002F79CB"/>
    <w:rsid w:val="003078BA"/>
    <w:rsid w:val="00315C60"/>
    <w:rsid w:val="003209D8"/>
    <w:rsid w:val="003266C3"/>
    <w:rsid w:val="003272B8"/>
    <w:rsid w:val="00334F33"/>
    <w:rsid w:val="00337F37"/>
    <w:rsid w:val="0034062E"/>
    <w:rsid w:val="00342954"/>
    <w:rsid w:val="00343FE9"/>
    <w:rsid w:val="00345FE3"/>
    <w:rsid w:val="00347502"/>
    <w:rsid w:val="00352188"/>
    <w:rsid w:val="003525F0"/>
    <w:rsid w:val="00354D9A"/>
    <w:rsid w:val="00354F1C"/>
    <w:rsid w:val="003559B9"/>
    <w:rsid w:val="003640E2"/>
    <w:rsid w:val="003647BC"/>
    <w:rsid w:val="0036611F"/>
    <w:rsid w:val="00366563"/>
    <w:rsid w:val="0037057B"/>
    <w:rsid w:val="00373DA7"/>
    <w:rsid w:val="0037400B"/>
    <w:rsid w:val="003818ED"/>
    <w:rsid w:val="0038195A"/>
    <w:rsid w:val="00381E3C"/>
    <w:rsid w:val="00391E94"/>
    <w:rsid w:val="00393A4F"/>
    <w:rsid w:val="0039417E"/>
    <w:rsid w:val="00397F17"/>
    <w:rsid w:val="003A1768"/>
    <w:rsid w:val="003A20A1"/>
    <w:rsid w:val="003A26E1"/>
    <w:rsid w:val="003A6726"/>
    <w:rsid w:val="003B32AB"/>
    <w:rsid w:val="003B3411"/>
    <w:rsid w:val="003B4453"/>
    <w:rsid w:val="003C24B4"/>
    <w:rsid w:val="003D4776"/>
    <w:rsid w:val="003D7A39"/>
    <w:rsid w:val="003E16C7"/>
    <w:rsid w:val="003E2911"/>
    <w:rsid w:val="003E2D4B"/>
    <w:rsid w:val="003E7A1A"/>
    <w:rsid w:val="003F0DD2"/>
    <w:rsid w:val="003F362D"/>
    <w:rsid w:val="003F3A74"/>
    <w:rsid w:val="003F46EB"/>
    <w:rsid w:val="003F4A2D"/>
    <w:rsid w:val="003F65FA"/>
    <w:rsid w:val="00402175"/>
    <w:rsid w:val="00403FC9"/>
    <w:rsid w:val="00406711"/>
    <w:rsid w:val="00410949"/>
    <w:rsid w:val="00415E40"/>
    <w:rsid w:val="00422484"/>
    <w:rsid w:val="00423CBE"/>
    <w:rsid w:val="00430A70"/>
    <w:rsid w:val="00431C1A"/>
    <w:rsid w:val="00432B40"/>
    <w:rsid w:val="0043511A"/>
    <w:rsid w:val="00442D4D"/>
    <w:rsid w:val="00443CB1"/>
    <w:rsid w:val="004453ED"/>
    <w:rsid w:val="004457CC"/>
    <w:rsid w:val="00446480"/>
    <w:rsid w:val="004470FB"/>
    <w:rsid w:val="004473A1"/>
    <w:rsid w:val="00447BEB"/>
    <w:rsid w:val="00454988"/>
    <w:rsid w:val="0045601E"/>
    <w:rsid w:val="00456A2A"/>
    <w:rsid w:val="00461E58"/>
    <w:rsid w:val="00464393"/>
    <w:rsid w:val="00465573"/>
    <w:rsid w:val="004661F9"/>
    <w:rsid w:val="0046671A"/>
    <w:rsid w:val="0047646D"/>
    <w:rsid w:val="00481F40"/>
    <w:rsid w:val="00482000"/>
    <w:rsid w:val="00483A7A"/>
    <w:rsid w:val="00483D24"/>
    <w:rsid w:val="0048712E"/>
    <w:rsid w:val="004907AC"/>
    <w:rsid w:val="00492C60"/>
    <w:rsid w:val="004952DD"/>
    <w:rsid w:val="004A5187"/>
    <w:rsid w:val="004A66DC"/>
    <w:rsid w:val="004B1F86"/>
    <w:rsid w:val="004B2CCE"/>
    <w:rsid w:val="004B4373"/>
    <w:rsid w:val="004B694A"/>
    <w:rsid w:val="004C189A"/>
    <w:rsid w:val="004C2801"/>
    <w:rsid w:val="004C44AC"/>
    <w:rsid w:val="004C5C01"/>
    <w:rsid w:val="004C6F41"/>
    <w:rsid w:val="004C71CA"/>
    <w:rsid w:val="004D0D6E"/>
    <w:rsid w:val="004D670E"/>
    <w:rsid w:val="004E062A"/>
    <w:rsid w:val="004E0FD1"/>
    <w:rsid w:val="004E5AF7"/>
    <w:rsid w:val="004F1A86"/>
    <w:rsid w:val="004F3117"/>
    <w:rsid w:val="004F4B3A"/>
    <w:rsid w:val="004F6892"/>
    <w:rsid w:val="005005EA"/>
    <w:rsid w:val="005018F0"/>
    <w:rsid w:val="00504EEE"/>
    <w:rsid w:val="0051048F"/>
    <w:rsid w:val="0051296D"/>
    <w:rsid w:val="00512CB2"/>
    <w:rsid w:val="005138A5"/>
    <w:rsid w:val="00513BDD"/>
    <w:rsid w:val="005218EE"/>
    <w:rsid w:val="00522580"/>
    <w:rsid w:val="005274CE"/>
    <w:rsid w:val="00527FF0"/>
    <w:rsid w:val="005304CE"/>
    <w:rsid w:val="005313BC"/>
    <w:rsid w:val="00531758"/>
    <w:rsid w:val="00534230"/>
    <w:rsid w:val="005450A6"/>
    <w:rsid w:val="005456E8"/>
    <w:rsid w:val="00545712"/>
    <w:rsid w:val="005461F8"/>
    <w:rsid w:val="005467A0"/>
    <w:rsid w:val="005500F5"/>
    <w:rsid w:val="00552259"/>
    <w:rsid w:val="00556968"/>
    <w:rsid w:val="00557886"/>
    <w:rsid w:val="00557A42"/>
    <w:rsid w:val="0056285F"/>
    <w:rsid w:val="00563663"/>
    <w:rsid w:val="0056409F"/>
    <w:rsid w:val="00567899"/>
    <w:rsid w:val="00572D2C"/>
    <w:rsid w:val="0057644E"/>
    <w:rsid w:val="00577930"/>
    <w:rsid w:val="00581865"/>
    <w:rsid w:val="00584012"/>
    <w:rsid w:val="00586412"/>
    <w:rsid w:val="005917AC"/>
    <w:rsid w:val="00594051"/>
    <w:rsid w:val="005951DB"/>
    <w:rsid w:val="005A08AC"/>
    <w:rsid w:val="005A3FCC"/>
    <w:rsid w:val="005A66F1"/>
    <w:rsid w:val="005A7465"/>
    <w:rsid w:val="005B0061"/>
    <w:rsid w:val="005B3EB2"/>
    <w:rsid w:val="005B69DA"/>
    <w:rsid w:val="005B7E26"/>
    <w:rsid w:val="005C0054"/>
    <w:rsid w:val="005C0495"/>
    <w:rsid w:val="005C4836"/>
    <w:rsid w:val="005D0E1B"/>
    <w:rsid w:val="005D1A5E"/>
    <w:rsid w:val="005D31DE"/>
    <w:rsid w:val="005D58EF"/>
    <w:rsid w:val="005D5E9E"/>
    <w:rsid w:val="005D66CC"/>
    <w:rsid w:val="005E5DF0"/>
    <w:rsid w:val="005F20BB"/>
    <w:rsid w:val="005F4705"/>
    <w:rsid w:val="005F4880"/>
    <w:rsid w:val="00601B3D"/>
    <w:rsid w:val="00602489"/>
    <w:rsid w:val="0060279E"/>
    <w:rsid w:val="00605A74"/>
    <w:rsid w:val="00610112"/>
    <w:rsid w:val="00612D56"/>
    <w:rsid w:val="00614E52"/>
    <w:rsid w:val="00614E9F"/>
    <w:rsid w:val="00621455"/>
    <w:rsid w:val="00623949"/>
    <w:rsid w:val="0062438C"/>
    <w:rsid w:val="00626AC0"/>
    <w:rsid w:val="00632B54"/>
    <w:rsid w:val="00632D95"/>
    <w:rsid w:val="006369E4"/>
    <w:rsid w:val="0063721B"/>
    <w:rsid w:val="00637FA4"/>
    <w:rsid w:val="006505CA"/>
    <w:rsid w:val="00653C86"/>
    <w:rsid w:val="0065591A"/>
    <w:rsid w:val="00656D02"/>
    <w:rsid w:val="00660B49"/>
    <w:rsid w:val="00661B85"/>
    <w:rsid w:val="006634D1"/>
    <w:rsid w:val="006654CD"/>
    <w:rsid w:val="006702D3"/>
    <w:rsid w:val="006738C7"/>
    <w:rsid w:val="00674BDF"/>
    <w:rsid w:val="00676833"/>
    <w:rsid w:val="00676C56"/>
    <w:rsid w:val="0068058C"/>
    <w:rsid w:val="00681415"/>
    <w:rsid w:val="00682057"/>
    <w:rsid w:val="00682521"/>
    <w:rsid w:val="00682C73"/>
    <w:rsid w:val="006832FE"/>
    <w:rsid w:val="0068571F"/>
    <w:rsid w:val="006866E7"/>
    <w:rsid w:val="006901A5"/>
    <w:rsid w:val="00693C77"/>
    <w:rsid w:val="00694FAB"/>
    <w:rsid w:val="006A1F85"/>
    <w:rsid w:val="006A52AE"/>
    <w:rsid w:val="006A5B92"/>
    <w:rsid w:val="006A6715"/>
    <w:rsid w:val="006B01F7"/>
    <w:rsid w:val="006B0E82"/>
    <w:rsid w:val="006B33E7"/>
    <w:rsid w:val="006B4856"/>
    <w:rsid w:val="006B6B5D"/>
    <w:rsid w:val="006C154B"/>
    <w:rsid w:val="006C5397"/>
    <w:rsid w:val="006C6F5D"/>
    <w:rsid w:val="006D2C08"/>
    <w:rsid w:val="006D3D5E"/>
    <w:rsid w:val="006D46FD"/>
    <w:rsid w:val="006D5F2A"/>
    <w:rsid w:val="006D7B42"/>
    <w:rsid w:val="006E3920"/>
    <w:rsid w:val="006E4813"/>
    <w:rsid w:val="006E4955"/>
    <w:rsid w:val="006E4F05"/>
    <w:rsid w:val="006E7AE2"/>
    <w:rsid w:val="006F19FC"/>
    <w:rsid w:val="006F52A7"/>
    <w:rsid w:val="00700878"/>
    <w:rsid w:val="007023D5"/>
    <w:rsid w:val="007024C7"/>
    <w:rsid w:val="00705CBE"/>
    <w:rsid w:val="00715458"/>
    <w:rsid w:val="00720591"/>
    <w:rsid w:val="007211ED"/>
    <w:rsid w:val="00722527"/>
    <w:rsid w:val="00724EE0"/>
    <w:rsid w:val="0072711A"/>
    <w:rsid w:val="00727967"/>
    <w:rsid w:val="007302C2"/>
    <w:rsid w:val="007340B5"/>
    <w:rsid w:val="00741B45"/>
    <w:rsid w:val="00741C2D"/>
    <w:rsid w:val="00746E25"/>
    <w:rsid w:val="00746F39"/>
    <w:rsid w:val="00752FB3"/>
    <w:rsid w:val="00754ECA"/>
    <w:rsid w:val="00756F84"/>
    <w:rsid w:val="00760B3A"/>
    <w:rsid w:val="00763389"/>
    <w:rsid w:val="0076456C"/>
    <w:rsid w:val="007646B1"/>
    <w:rsid w:val="007650BA"/>
    <w:rsid w:val="00766C73"/>
    <w:rsid w:val="0077011B"/>
    <w:rsid w:val="00772493"/>
    <w:rsid w:val="007800A5"/>
    <w:rsid w:val="00781843"/>
    <w:rsid w:val="00781D3A"/>
    <w:rsid w:val="0078524C"/>
    <w:rsid w:val="0078675F"/>
    <w:rsid w:val="00786F2F"/>
    <w:rsid w:val="00790C6E"/>
    <w:rsid w:val="00792DF1"/>
    <w:rsid w:val="007934DA"/>
    <w:rsid w:val="00795A61"/>
    <w:rsid w:val="00797D35"/>
    <w:rsid w:val="007A1D08"/>
    <w:rsid w:val="007A4AFB"/>
    <w:rsid w:val="007A58AC"/>
    <w:rsid w:val="007A6783"/>
    <w:rsid w:val="007A790D"/>
    <w:rsid w:val="007B1C07"/>
    <w:rsid w:val="007B5956"/>
    <w:rsid w:val="007B5B17"/>
    <w:rsid w:val="007B6875"/>
    <w:rsid w:val="007B768B"/>
    <w:rsid w:val="007C1D5B"/>
    <w:rsid w:val="007D148E"/>
    <w:rsid w:val="007E0537"/>
    <w:rsid w:val="007E182F"/>
    <w:rsid w:val="007E7A3A"/>
    <w:rsid w:val="007E7FA8"/>
    <w:rsid w:val="007F0E39"/>
    <w:rsid w:val="007F1CF8"/>
    <w:rsid w:val="007F1E14"/>
    <w:rsid w:val="0080015F"/>
    <w:rsid w:val="00806EAE"/>
    <w:rsid w:val="00813E7C"/>
    <w:rsid w:val="00816E88"/>
    <w:rsid w:val="00821599"/>
    <w:rsid w:val="008216F9"/>
    <w:rsid w:val="00824DFD"/>
    <w:rsid w:val="00830E24"/>
    <w:rsid w:val="00832832"/>
    <w:rsid w:val="00833D1D"/>
    <w:rsid w:val="00834AA3"/>
    <w:rsid w:val="00834F7C"/>
    <w:rsid w:val="0083509F"/>
    <w:rsid w:val="00835EAD"/>
    <w:rsid w:val="008375D1"/>
    <w:rsid w:val="00840B28"/>
    <w:rsid w:val="00845AC9"/>
    <w:rsid w:val="0084625E"/>
    <w:rsid w:val="00846684"/>
    <w:rsid w:val="008500CB"/>
    <w:rsid w:val="0085019E"/>
    <w:rsid w:val="008526BF"/>
    <w:rsid w:val="008537BB"/>
    <w:rsid w:val="00854989"/>
    <w:rsid w:val="0085524E"/>
    <w:rsid w:val="00855931"/>
    <w:rsid w:val="00860019"/>
    <w:rsid w:val="00861D00"/>
    <w:rsid w:val="00861F63"/>
    <w:rsid w:val="00863533"/>
    <w:rsid w:val="008651A7"/>
    <w:rsid w:val="008754AA"/>
    <w:rsid w:val="00877E12"/>
    <w:rsid w:val="00881F9F"/>
    <w:rsid w:val="00885275"/>
    <w:rsid w:val="00892195"/>
    <w:rsid w:val="00892CA3"/>
    <w:rsid w:val="008942AC"/>
    <w:rsid w:val="00896D41"/>
    <w:rsid w:val="008A1318"/>
    <w:rsid w:val="008B09E1"/>
    <w:rsid w:val="008B1B26"/>
    <w:rsid w:val="008B5588"/>
    <w:rsid w:val="008B6D93"/>
    <w:rsid w:val="008C0AC9"/>
    <w:rsid w:val="008C0D48"/>
    <w:rsid w:val="008C4E29"/>
    <w:rsid w:val="008D111C"/>
    <w:rsid w:val="008D2F4A"/>
    <w:rsid w:val="008D61C2"/>
    <w:rsid w:val="008E3AF7"/>
    <w:rsid w:val="008E4A86"/>
    <w:rsid w:val="008E6644"/>
    <w:rsid w:val="008F0713"/>
    <w:rsid w:val="008F14BA"/>
    <w:rsid w:val="008F3B2C"/>
    <w:rsid w:val="008F5119"/>
    <w:rsid w:val="008F5A91"/>
    <w:rsid w:val="008F6652"/>
    <w:rsid w:val="008F67A9"/>
    <w:rsid w:val="008F6ADD"/>
    <w:rsid w:val="008F7923"/>
    <w:rsid w:val="009022BD"/>
    <w:rsid w:val="0090674D"/>
    <w:rsid w:val="00907477"/>
    <w:rsid w:val="0090761F"/>
    <w:rsid w:val="00910957"/>
    <w:rsid w:val="00910981"/>
    <w:rsid w:val="00912A65"/>
    <w:rsid w:val="00913C65"/>
    <w:rsid w:val="00915A59"/>
    <w:rsid w:val="00915E9D"/>
    <w:rsid w:val="00916968"/>
    <w:rsid w:val="00920760"/>
    <w:rsid w:val="00920922"/>
    <w:rsid w:val="00923A75"/>
    <w:rsid w:val="00927223"/>
    <w:rsid w:val="00931242"/>
    <w:rsid w:val="00933A38"/>
    <w:rsid w:val="00935590"/>
    <w:rsid w:val="0093743C"/>
    <w:rsid w:val="00943A65"/>
    <w:rsid w:val="00944000"/>
    <w:rsid w:val="0094477D"/>
    <w:rsid w:val="009454A3"/>
    <w:rsid w:val="00945BD1"/>
    <w:rsid w:val="009511F2"/>
    <w:rsid w:val="009538D2"/>
    <w:rsid w:val="00957848"/>
    <w:rsid w:val="009605B3"/>
    <w:rsid w:val="00960918"/>
    <w:rsid w:val="00960E71"/>
    <w:rsid w:val="009613FD"/>
    <w:rsid w:val="0096246A"/>
    <w:rsid w:val="00963EFE"/>
    <w:rsid w:val="00964DEC"/>
    <w:rsid w:val="009675C5"/>
    <w:rsid w:val="00967B76"/>
    <w:rsid w:val="0097465D"/>
    <w:rsid w:val="0097556F"/>
    <w:rsid w:val="00980DA3"/>
    <w:rsid w:val="0098258A"/>
    <w:rsid w:val="009841C0"/>
    <w:rsid w:val="00984624"/>
    <w:rsid w:val="00987660"/>
    <w:rsid w:val="00993BA6"/>
    <w:rsid w:val="00997FC6"/>
    <w:rsid w:val="009A0B67"/>
    <w:rsid w:val="009A4AE3"/>
    <w:rsid w:val="009B3792"/>
    <w:rsid w:val="009B550C"/>
    <w:rsid w:val="009B5E89"/>
    <w:rsid w:val="009C30EA"/>
    <w:rsid w:val="009C36C3"/>
    <w:rsid w:val="009D4BF9"/>
    <w:rsid w:val="009D5522"/>
    <w:rsid w:val="009E49B0"/>
    <w:rsid w:val="009F3205"/>
    <w:rsid w:val="009F4EF7"/>
    <w:rsid w:val="00A01831"/>
    <w:rsid w:val="00A022A1"/>
    <w:rsid w:val="00A06A17"/>
    <w:rsid w:val="00A10CCE"/>
    <w:rsid w:val="00A14CF5"/>
    <w:rsid w:val="00A16D9F"/>
    <w:rsid w:val="00A207F3"/>
    <w:rsid w:val="00A225EE"/>
    <w:rsid w:val="00A23B7E"/>
    <w:rsid w:val="00A26F93"/>
    <w:rsid w:val="00A27134"/>
    <w:rsid w:val="00A27434"/>
    <w:rsid w:val="00A32B25"/>
    <w:rsid w:val="00A33122"/>
    <w:rsid w:val="00A35CB8"/>
    <w:rsid w:val="00A4078E"/>
    <w:rsid w:val="00A4092A"/>
    <w:rsid w:val="00A42CE8"/>
    <w:rsid w:val="00A501B3"/>
    <w:rsid w:val="00A55D2F"/>
    <w:rsid w:val="00A6038B"/>
    <w:rsid w:val="00A610F9"/>
    <w:rsid w:val="00A67AF1"/>
    <w:rsid w:val="00A70CC8"/>
    <w:rsid w:val="00A8009F"/>
    <w:rsid w:val="00A82674"/>
    <w:rsid w:val="00A84739"/>
    <w:rsid w:val="00A863D1"/>
    <w:rsid w:val="00A90B32"/>
    <w:rsid w:val="00A92D27"/>
    <w:rsid w:val="00A935BE"/>
    <w:rsid w:val="00A94F4F"/>
    <w:rsid w:val="00A97D20"/>
    <w:rsid w:val="00AA2B96"/>
    <w:rsid w:val="00AA6483"/>
    <w:rsid w:val="00AA661E"/>
    <w:rsid w:val="00AB026D"/>
    <w:rsid w:val="00AB114F"/>
    <w:rsid w:val="00AB157B"/>
    <w:rsid w:val="00AB19B1"/>
    <w:rsid w:val="00AB688F"/>
    <w:rsid w:val="00AB6F52"/>
    <w:rsid w:val="00AC18EF"/>
    <w:rsid w:val="00AC58EE"/>
    <w:rsid w:val="00AC70E2"/>
    <w:rsid w:val="00AC78A0"/>
    <w:rsid w:val="00AC7AE2"/>
    <w:rsid w:val="00AD0E0D"/>
    <w:rsid w:val="00AD0FED"/>
    <w:rsid w:val="00AD1C3B"/>
    <w:rsid w:val="00AD425F"/>
    <w:rsid w:val="00AE2634"/>
    <w:rsid w:val="00AE443B"/>
    <w:rsid w:val="00AE6D14"/>
    <w:rsid w:val="00AE7295"/>
    <w:rsid w:val="00AF199E"/>
    <w:rsid w:val="00AF228E"/>
    <w:rsid w:val="00AF2356"/>
    <w:rsid w:val="00AF28B0"/>
    <w:rsid w:val="00AF4902"/>
    <w:rsid w:val="00AF6477"/>
    <w:rsid w:val="00B01056"/>
    <w:rsid w:val="00B04F97"/>
    <w:rsid w:val="00B06A80"/>
    <w:rsid w:val="00B10EE5"/>
    <w:rsid w:val="00B12552"/>
    <w:rsid w:val="00B26163"/>
    <w:rsid w:val="00B308F8"/>
    <w:rsid w:val="00B31E11"/>
    <w:rsid w:val="00B339CE"/>
    <w:rsid w:val="00B33CD4"/>
    <w:rsid w:val="00B35A98"/>
    <w:rsid w:val="00B36612"/>
    <w:rsid w:val="00B3743D"/>
    <w:rsid w:val="00B458D4"/>
    <w:rsid w:val="00B47DF0"/>
    <w:rsid w:val="00B50CA8"/>
    <w:rsid w:val="00B53E04"/>
    <w:rsid w:val="00B613B3"/>
    <w:rsid w:val="00B6417E"/>
    <w:rsid w:val="00B733D0"/>
    <w:rsid w:val="00B73806"/>
    <w:rsid w:val="00B73F71"/>
    <w:rsid w:val="00B77D03"/>
    <w:rsid w:val="00B81E6F"/>
    <w:rsid w:val="00B821BA"/>
    <w:rsid w:val="00B82D4F"/>
    <w:rsid w:val="00B82DCE"/>
    <w:rsid w:val="00B908F8"/>
    <w:rsid w:val="00B91227"/>
    <w:rsid w:val="00B92440"/>
    <w:rsid w:val="00B93732"/>
    <w:rsid w:val="00B9477E"/>
    <w:rsid w:val="00BA34B0"/>
    <w:rsid w:val="00BA4D15"/>
    <w:rsid w:val="00BA573C"/>
    <w:rsid w:val="00BB0E24"/>
    <w:rsid w:val="00BB5B4C"/>
    <w:rsid w:val="00BB79AD"/>
    <w:rsid w:val="00BC1DDC"/>
    <w:rsid w:val="00BC7733"/>
    <w:rsid w:val="00BC7800"/>
    <w:rsid w:val="00BD27E8"/>
    <w:rsid w:val="00BD7E90"/>
    <w:rsid w:val="00BE0A5B"/>
    <w:rsid w:val="00BE597D"/>
    <w:rsid w:val="00BE709A"/>
    <w:rsid w:val="00BE7C74"/>
    <w:rsid w:val="00BF0A3C"/>
    <w:rsid w:val="00BF1A58"/>
    <w:rsid w:val="00BF31F7"/>
    <w:rsid w:val="00BF34BA"/>
    <w:rsid w:val="00C00A27"/>
    <w:rsid w:val="00C018FC"/>
    <w:rsid w:val="00C01C45"/>
    <w:rsid w:val="00C01E0B"/>
    <w:rsid w:val="00C04A04"/>
    <w:rsid w:val="00C10962"/>
    <w:rsid w:val="00C12967"/>
    <w:rsid w:val="00C162A3"/>
    <w:rsid w:val="00C16CE3"/>
    <w:rsid w:val="00C206BE"/>
    <w:rsid w:val="00C27E6C"/>
    <w:rsid w:val="00C42964"/>
    <w:rsid w:val="00C44F3A"/>
    <w:rsid w:val="00C45C9E"/>
    <w:rsid w:val="00C4654F"/>
    <w:rsid w:val="00C5251C"/>
    <w:rsid w:val="00C530A5"/>
    <w:rsid w:val="00C544C4"/>
    <w:rsid w:val="00C57BA5"/>
    <w:rsid w:val="00C63132"/>
    <w:rsid w:val="00C63A37"/>
    <w:rsid w:val="00C709C8"/>
    <w:rsid w:val="00C7209F"/>
    <w:rsid w:val="00C72610"/>
    <w:rsid w:val="00C72E25"/>
    <w:rsid w:val="00C75942"/>
    <w:rsid w:val="00C858C4"/>
    <w:rsid w:val="00C858CD"/>
    <w:rsid w:val="00C9246B"/>
    <w:rsid w:val="00C930B7"/>
    <w:rsid w:val="00C93968"/>
    <w:rsid w:val="00C97AE5"/>
    <w:rsid w:val="00CA0A2E"/>
    <w:rsid w:val="00CA5824"/>
    <w:rsid w:val="00CB03F1"/>
    <w:rsid w:val="00CB1130"/>
    <w:rsid w:val="00CC1B29"/>
    <w:rsid w:val="00CC1B66"/>
    <w:rsid w:val="00CC38A3"/>
    <w:rsid w:val="00CD2BE0"/>
    <w:rsid w:val="00CD300B"/>
    <w:rsid w:val="00CD42EE"/>
    <w:rsid w:val="00CD4362"/>
    <w:rsid w:val="00CD7CD6"/>
    <w:rsid w:val="00CE0FFE"/>
    <w:rsid w:val="00CE1C31"/>
    <w:rsid w:val="00CE372C"/>
    <w:rsid w:val="00CE4615"/>
    <w:rsid w:val="00CE5E5D"/>
    <w:rsid w:val="00CE738E"/>
    <w:rsid w:val="00CE74DC"/>
    <w:rsid w:val="00CF26C1"/>
    <w:rsid w:val="00D03455"/>
    <w:rsid w:val="00D06F68"/>
    <w:rsid w:val="00D1084E"/>
    <w:rsid w:val="00D10C62"/>
    <w:rsid w:val="00D119DE"/>
    <w:rsid w:val="00D1348E"/>
    <w:rsid w:val="00D145EA"/>
    <w:rsid w:val="00D22643"/>
    <w:rsid w:val="00D25AB4"/>
    <w:rsid w:val="00D2779C"/>
    <w:rsid w:val="00D31A64"/>
    <w:rsid w:val="00D32991"/>
    <w:rsid w:val="00D34215"/>
    <w:rsid w:val="00D34219"/>
    <w:rsid w:val="00D34DB8"/>
    <w:rsid w:val="00D45955"/>
    <w:rsid w:val="00D46D56"/>
    <w:rsid w:val="00D513FE"/>
    <w:rsid w:val="00D51B14"/>
    <w:rsid w:val="00D62586"/>
    <w:rsid w:val="00D73A2C"/>
    <w:rsid w:val="00D7507D"/>
    <w:rsid w:val="00D76A2E"/>
    <w:rsid w:val="00D81F82"/>
    <w:rsid w:val="00D92BB6"/>
    <w:rsid w:val="00D94C58"/>
    <w:rsid w:val="00D960AE"/>
    <w:rsid w:val="00DA175F"/>
    <w:rsid w:val="00DA2AB8"/>
    <w:rsid w:val="00DA63F6"/>
    <w:rsid w:val="00DA6627"/>
    <w:rsid w:val="00DB02E4"/>
    <w:rsid w:val="00DB119E"/>
    <w:rsid w:val="00DB7C51"/>
    <w:rsid w:val="00DC33D3"/>
    <w:rsid w:val="00DC3798"/>
    <w:rsid w:val="00DC60A3"/>
    <w:rsid w:val="00DD15C3"/>
    <w:rsid w:val="00DD32B2"/>
    <w:rsid w:val="00DD32EB"/>
    <w:rsid w:val="00DD3CE2"/>
    <w:rsid w:val="00DD404F"/>
    <w:rsid w:val="00DD5CDE"/>
    <w:rsid w:val="00DD6891"/>
    <w:rsid w:val="00DD73AC"/>
    <w:rsid w:val="00DD7CEF"/>
    <w:rsid w:val="00DE481C"/>
    <w:rsid w:val="00DE49E1"/>
    <w:rsid w:val="00DE6D0B"/>
    <w:rsid w:val="00DE7FC3"/>
    <w:rsid w:val="00DF0219"/>
    <w:rsid w:val="00DF5016"/>
    <w:rsid w:val="00E0145F"/>
    <w:rsid w:val="00E0553D"/>
    <w:rsid w:val="00E05D9B"/>
    <w:rsid w:val="00E1346A"/>
    <w:rsid w:val="00E228B6"/>
    <w:rsid w:val="00E23C30"/>
    <w:rsid w:val="00E24F72"/>
    <w:rsid w:val="00E432A1"/>
    <w:rsid w:val="00E44221"/>
    <w:rsid w:val="00E45E62"/>
    <w:rsid w:val="00E47F24"/>
    <w:rsid w:val="00E50271"/>
    <w:rsid w:val="00E542BB"/>
    <w:rsid w:val="00E55C3D"/>
    <w:rsid w:val="00E5601A"/>
    <w:rsid w:val="00E567E0"/>
    <w:rsid w:val="00E60660"/>
    <w:rsid w:val="00E61313"/>
    <w:rsid w:val="00E63CA6"/>
    <w:rsid w:val="00E65B70"/>
    <w:rsid w:val="00E708D4"/>
    <w:rsid w:val="00E71325"/>
    <w:rsid w:val="00E724B0"/>
    <w:rsid w:val="00E73A7F"/>
    <w:rsid w:val="00E73AB4"/>
    <w:rsid w:val="00E766EF"/>
    <w:rsid w:val="00E77FB5"/>
    <w:rsid w:val="00E858C2"/>
    <w:rsid w:val="00E862D3"/>
    <w:rsid w:val="00E877EE"/>
    <w:rsid w:val="00E9028B"/>
    <w:rsid w:val="00E909DD"/>
    <w:rsid w:val="00E90E91"/>
    <w:rsid w:val="00E915CB"/>
    <w:rsid w:val="00E9422B"/>
    <w:rsid w:val="00E94680"/>
    <w:rsid w:val="00E95ED1"/>
    <w:rsid w:val="00E9781C"/>
    <w:rsid w:val="00EA307E"/>
    <w:rsid w:val="00EA6D07"/>
    <w:rsid w:val="00EB276A"/>
    <w:rsid w:val="00EB5793"/>
    <w:rsid w:val="00EB6748"/>
    <w:rsid w:val="00EC3E4D"/>
    <w:rsid w:val="00ED011F"/>
    <w:rsid w:val="00ED622F"/>
    <w:rsid w:val="00ED7DD1"/>
    <w:rsid w:val="00EE0834"/>
    <w:rsid w:val="00EE098F"/>
    <w:rsid w:val="00EE47B8"/>
    <w:rsid w:val="00EE7597"/>
    <w:rsid w:val="00EF327C"/>
    <w:rsid w:val="00EF333D"/>
    <w:rsid w:val="00F00B46"/>
    <w:rsid w:val="00F0120C"/>
    <w:rsid w:val="00F01E0A"/>
    <w:rsid w:val="00F03614"/>
    <w:rsid w:val="00F05524"/>
    <w:rsid w:val="00F0694E"/>
    <w:rsid w:val="00F077D9"/>
    <w:rsid w:val="00F1306B"/>
    <w:rsid w:val="00F14250"/>
    <w:rsid w:val="00F145EF"/>
    <w:rsid w:val="00F14FD8"/>
    <w:rsid w:val="00F1528F"/>
    <w:rsid w:val="00F22600"/>
    <w:rsid w:val="00F227D8"/>
    <w:rsid w:val="00F2380B"/>
    <w:rsid w:val="00F2492B"/>
    <w:rsid w:val="00F33892"/>
    <w:rsid w:val="00F34E34"/>
    <w:rsid w:val="00F34E89"/>
    <w:rsid w:val="00F36248"/>
    <w:rsid w:val="00F36BC8"/>
    <w:rsid w:val="00F377A9"/>
    <w:rsid w:val="00F40C15"/>
    <w:rsid w:val="00F411CC"/>
    <w:rsid w:val="00F42E68"/>
    <w:rsid w:val="00F42E9B"/>
    <w:rsid w:val="00F455AE"/>
    <w:rsid w:val="00F52998"/>
    <w:rsid w:val="00F55838"/>
    <w:rsid w:val="00F72DA1"/>
    <w:rsid w:val="00F75401"/>
    <w:rsid w:val="00F7683E"/>
    <w:rsid w:val="00F81E64"/>
    <w:rsid w:val="00F86F47"/>
    <w:rsid w:val="00F87FBD"/>
    <w:rsid w:val="00F9729C"/>
    <w:rsid w:val="00FA04D6"/>
    <w:rsid w:val="00FA35FC"/>
    <w:rsid w:val="00FA3813"/>
    <w:rsid w:val="00FA5CCB"/>
    <w:rsid w:val="00FB0A9A"/>
    <w:rsid w:val="00FB4269"/>
    <w:rsid w:val="00FB45AE"/>
    <w:rsid w:val="00FB4DD7"/>
    <w:rsid w:val="00FB6071"/>
    <w:rsid w:val="00FB6BCE"/>
    <w:rsid w:val="00FB76E2"/>
    <w:rsid w:val="00FC25EF"/>
    <w:rsid w:val="00FC2D43"/>
    <w:rsid w:val="00FC5BFD"/>
    <w:rsid w:val="00FD0CCD"/>
    <w:rsid w:val="00FD315B"/>
    <w:rsid w:val="00FE2D4F"/>
    <w:rsid w:val="00FE5833"/>
    <w:rsid w:val="00FE6C1B"/>
    <w:rsid w:val="00FE7B78"/>
    <w:rsid w:val="00FF259E"/>
    <w:rsid w:val="00FF33A9"/>
    <w:rsid w:val="01E540C1"/>
    <w:rsid w:val="05274807"/>
    <w:rsid w:val="054D6D53"/>
    <w:rsid w:val="05E023AE"/>
    <w:rsid w:val="07C01CCF"/>
    <w:rsid w:val="082C1801"/>
    <w:rsid w:val="08381CDE"/>
    <w:rsid w:val="08A05B63"/>
    <w:rsid w:val="08CB5988"/>
    <w:rsid w:val="0978425B"/>
    <w:rsid w:val="0A07045B"/>
    <w:rsid w:val="0D992BFA"/>
    <w:rsid w:val="0DC24A9D"/>
    <w:rsid w:val="0DF746B3"/>
    <w:rsid w:val="108228A7"/>
    <w:rsid w:val="121D1E44"/>
    <w:rsid w:val="12811242"/>
    <w:rsid w:val="12D22C2E"/>
    <w:rsid w:val="13195FB1"/>
    <w:rsid w:val="145A4458"/>
    <w:rsid w:val="15183FBA"/>
    <w:rsid w:val="15F60E37"/>
    <w:rsid w:val="16C429D7"/>
    <w:rsid w:val="173E694A"/>
    <w:rsid w:val="17B334B5"/>
    <w:rsid w:val="17E4096C"/>
    <w:rsid w:val="195F174D"/>
    <w:rsid w:val="19767F8D"/>
    <w:rsid w:val="19A65EE1"/>
    <w:rsid w:val="19CA28B1"/>
    <w:rsid w:val="1B6D57DA"/>
    <w:rsid w:val="1CC17F9B"/>
    <w:rsid w:val="1D215696"/>
    <w:rsid w:val="1D51282F"/>
    <w:rsid w:val="1D694450"/>
    <w:rsid w:val="1DBC0763"/>
    <w:rsid w:val="1E6F540B"/>
    <w:rsid w:val="1FC20BBC"/>
    <w:rsid w:val="200D12AD"/>
    <w:rsid w:val="21EF6A0D"/>
    <w:rsid w:val="21FE134A"/>
    <w:rsid w:val="22C829C3"/>
    <w:rsid w:val="249E57D1"/>
    <w:rsid w:val="24AD5D0E"/>
    <w:rsid w:val="25287A72"/>
    <w:rsid w:val="25AB5CFF"/>
    <w:rsid w:val="25D82557"/>
    <w:rsid w:val="26153106"/>
    <w:rsid w:val="289C18BC"/>
    <w:rsid w:val="2A8E6314"/>
    <w:rsid w:val="2BFF79BE"/>
    <w:rsid w:val="2D251E2B"/>
    <w:rsid w:val="2D725F0E"/>
    <w:rsid w:val="2DA43EEA"/>
    <w:rsid w:val="2F20265F"/>
    <w:rsid w:val="2F3B1179"/>
    <w:rsid w:val="2F5C5A4B"/>
    <w:rsid w:val="301164A5"/>
    <w:rsid w:val="315360F6"/>
    <w:rsid w:val="33AF680D"/>
    <w:rsid w:val="353734F5"/>
    <w:rsid w:val="35A46416"/>
    <w:rsid w:val="374D654E"/>
    <w:rsid w:val="37FE1C4C"/>
    <w:rsid w:val="383E1B53"/>
    <w:rsid w:val="389D412E"/>
    <w:rsid w:val="38E365CE"/>
    <w:rsid w:val="39394955"/>
    <w:rsid w:val="39BF05BC"/>
    <w:rsid w:val="3B785138"/>
    <w:rsid w:val="3DA16910"/>
    <w:rsid w:val="3E44039C"/>
    <w:rsid w:val="4095654A"/>
    <w:rsid w:val="42220387"/>
    <w:rsid w:val="42F51FEF"/>
    <w:rsid w:val="430130C2"/>
    <w:rsid w:val="43440C52"/>
    <w:rsid w:val="438A7B92"/>
    <w:rsid w:val="43BB5232"/>
    <w:rsid w:val="43BD7095"/>
    <w:rsid w:val="44790595"/>
    <w:rsid w:val="45A644E6"/>
    <w:rsid w:val="46633F77"/>
    <w:rsid w:val="466902FC"/>
    <w:rsid w:val="46F92E3B"/>
    <w:rsid w:val="48194CB0"/>
    <w:rsid w:val="4A5C520E"/>
    <w:rsid w:val="4D4C41F0"/>
    <w:rsid w:val="4D561B34"/>
    <w:rsid w:val="4E093B4B"/>
    <w:rsid w:val="4E156170"/>
    <w:rsid w:val="4E4C6100"/>
    <w:rsid w:val="50232A0E"/>
    <w:rsid w:val="513F1A6B"/>
    <w:rsid w:val="52567E5E"/>
    <w:rsid w:val="539D619E"/>
    <w:rsid w:val="53ED5198"/>
    <w:rsid w:val="55462E88"/>
    <w:rsid w:val="5627502A"/>
    <w:rsid w:val="568F2ACC"/>
    <w:rsid w:val="568F73C1"/>
    <w:rsid w:val="5822484F"/>
    <w:rsid w:val="584A6A7F"/>
    <w:rsid w:val="5A5F6B7D"/>
    <w:rsid w:val="5C283B18"/>
    <w:rsid w:val="5C562930"/>
    <w:rsid w:val="5CF429C8"/>
    <w:rsid w:val="5D853A16"/>
    <w:rsid w:val="5DA076F9"/>
    <w:rsid w:val="5F880BAB"/>
    <w:rsid w:val="5FC133DB"/>
    <w:rsid w:val="5FE33352"/>
    <w:rsid w:val="603718EF"/>
    <w:rsid w:val="61E338B5"/>
    <w:rsid w:val="6215110B"/>
    <w:rsid w:val="63547151"/>
    <w:rsid w:val="636263E4"/>
    <w:rsid w:val="638F265B"/>
    <w:rsid w:val="63D75D32"/>
    <w:rsid w:val="65A51308"/>
    <w:rsid w:val="66B404B9"/>
    <w:rsid w:val="67D75F06"/>
    <w:rsid w:val="67F3063F"/>
    <w:rsid w:val="68104B1C"/>
    <w:rsid w:val="693448A9"/>
    <w:rsid w:val="6A2E4A1A"/>
    <w:rsid w:val="6A68790B"/>
    <w:rsid w:val="6B183653"/>
    <w:rsid w:val="6BAE0CB8"/>
    <w:rsid w:val="6EB94A14"/>
    <w:rsid w:val="706F09F5"/>
    <w:rsid w:val="7192137F"/>
    <w:rsid w:val="73872388"/>
    <w:rsid w:val="74455376"/>
    <w:rsid w:val="746141C0"/>
    <w:rsid w:val="77457069"/>
    <w:rsid w:val="78903C4C"/>
    <w:rsid w:val="79235FA3"/>
    <w:rsid w:val="798D4602"/>
    <w:rsid w:val="7A2343B9"/>
    <w:rsid w:val="7B9B3880"/>
    <w:rsid w:val="7F1F7CB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200" w:leftChars="200"/>
    </w:pPr>
    <w:rPr>
      <w:rFonts w:ascii="Times New Roman" w:hAnsi="Times New Roman" w:eastAsia="宋体"/>
      <w:szCs w:val="24"/>
    </w:rPr>
  </w:style>
  <w:style w:type="paragraph" w:styleId="4">
    <w:name w:val="Body Text"/>
    <w:basedOn w:val="1"/>
    <w:qFormat/>
    <w:uiPriority w:val="0"/>
    <w:pPr>
      <w:spacing w:after="120"/>
    </w:pPr>
  </w:style>
  <w:style w:type="paragraph" w:styleId="5">
    <w:name w:val="Plain Text"/>
    <w:qFormat/>
    <w:uiPriority w:val="0"/>
    <w:rPr>
      <w:rFonts w:ascii="宋体" w:hAnsi="Courier New" w:eastAsia="宋体" w:cs="Courier New"/>
      <w:szCs w:val="21"/>
      <w:lang w:val="en-US" w:eastAsia="zh-CN" w:bidi="ar-SA"/>
    </w:rPr>
  </w:style>
  <w:style w:type="paragraph" w:styleId="6">
    <w:name w:val="Date"/>
    <w:basedOn w:val="1"/>
    <w:next w:val="1"/>
    <w:qFormat/>
    <w:uiPriority w:val="0"/>
    <w:rPr>
      <w:rFonts w:ascii="仿宋_GB2312" w:hAnsi="宋体"/>
      <w:spacing w:val="-20"/>
    </w:rPr>
  </w:style>
  <w:style w:type="paragraph" w:styleId="7">
    <w:name w:val="Body Text Indent 2"/>
    <w:basedOn w:val="1"/>
    <w:qFormat/>
    <w:uiPriority w:val="0"/>
    <w:pPr>
      <w:spacing w:line="560" w:lineRule="atLeast"/>
      <w:ind w:firstLine="630"/>
    </w:pPr>
    <w:rPr>
      <w:rFonts w:eastAsia="黑体"/>
      <w:szCs w:val="24"/>
    </w:r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2">
    <w:name w:val="Title"/>
    <w:basedOn w:val="1"/>
    <w:next w:val="1"/>
    <w:qFormat/>
    <w:uiPriority w:val="0"/>
    <w:pPr>
      <w:spacing w:before="240" w:after="60"/>
      <w:jc w:val="center"/>
      <w:outlineLvl w:val="0"/>
    </w:pPr>
    <w:rPr>
      <w:rFonts w:ascii="Cambria" w:hAnsi="Cambria" w:eastAsia="宋体"/>
      <w:b/>
      <w:bCs/>
      <w:szCs w:val="3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page number"/>
    <w:basedOn w:val="15"/>
    <w:qFormat/>
    <w:uiPriority w:val="0"/>
  </w:style>
  <w:style w:type="character" w:styleId="18">
    <w:name w:val="Hyperlink"/>
    <w:basedOn w:val="15"/>
    <w:qFormat/>
    <w:uiPriority w:val="0"/>
    <w:rPr>
      <w:color w:val="0000FF"/>
      <w:u w:val="single"/>
    </w:rPr>
  </w:style>
  <w:style w:type="character" w:customStyle="1" w:styleId="19">
    <w:name w:val="页眉 Char"/>
    <w:basedOn w:val="15"/>
    <w:link w:val="10"/>
    <w:semiHidden/>
    <w:qFormat/>
    <w:uiPriority w:val="0"/>
    <w:rPr>
      <w:rFonts w:eastAsia="仿宋_GB2312"/>
      <w:kern w:val="2"/>
      <w:sz w:val="18"/>
      <w:szCs w:val="18"/>
      <w:lang w:val="en-US" w:eastAsia="zh-CN" w:bidi="ar-SA"/>
    </w:rPr>
  </w:style>
  <w:style w:type="paragraph" w:customStyle="1" w:styleId="20">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1">
    <w:name w:val=" Char Char"/>
    <w:basedOn w:val="1"/>
    <w:qFormat/>
    <w:uiPriority w:val="0"/>
    <w:pPr>
      <w:widowControl/>
      <w:spacing w:line="360" w:lineRule="auto"/>
    </w:pPr>
    <w:rPr>
      <w:szCs w:val="20"/>
    </w:rPr>
  </w:style>
  <w:style w:type="paragraph" w:customStyle="1" w:styleId="22">
    <w:name w:val="p0"/>
    <w:basedOn w:val="1"/>
    <w:qFormat/>
    <w:uiPriority w:val="0"/>
    <w:pPr>
      <w:widowControl/>
    </w:pPr>
    <w:rPr>
      <w:rFonts w:hint="eastAsia"/>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user</Company>
  <Pages>7</Pages>
  <Words>2961</Words>
  <Characters>3404</Characters>
  <Lines>1</Lines>
  <Paragraphs>1</Paragraphs>
  <TotalTime>3</TotalTime>
  <ScaleCrop>false</ScaleCrop>
  <LinksUpToDate>false</LinksUpToDate>
  <CharactersWithSpaces>3407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2015-08-27T07:20:00Z</dcterms:created>
  <dc:creator>user</dc:creator>
  <cp:lastModifiedBy>烟锁池城柳</cp:lastModifiedBy>
  <cp:lastPrinted>2022-10-21T00:44:00Z</cp:lastPrinted>
  <dcterms:modified xsi:type="dcterms:W3CDTF">2023-01-03T07:37:50Z</dcterms:modified>
  <dc:title>汕头市濠江区委文件印制格式标准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9370FD1E42BE4951AFFB9DA8D95AA30F</vt:lpwstr>
  </property>
  <property fmtid="{D5CDD505-2E9C-101B-9397-08002B2CF9AE}" pid="4" name="KSOSaveFontToCloudKey">
    <vt:lpwstr>1214594185_embed</vt:lpwstr>
  </property>
</Properties>
</file>