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Style w:val="7"/>
          <w:rFonts w:hint="eastAsia" w:ascii="黑体" w:hAnsi="黑体" w:eastAsia="黑体" w:cs="黑体"/>
          <w:b w:val="0"/>
          <w:bCs/>
          <w:i w:val="0"/>
          <w:iCs w:val="0"/>
          <w:caps w:val="0"/>
          <w:color w:val="000000"/>
          <w:spacing w:val="0"/>
          <w:sz w:val="32"/>
          <w:szCs w:val="32"/>
          <w:highlight w:val="none"/>
          <w:shd w:val="clear" w:color="auto" w:fill="FFFFFF"/>
          <w:lang w:val="en-US" w:eastAsia="zh-CN"/>
        </w:rPr>
      </w:pPr>
      <w:r>
        <w:rPr>
          <w:rStyle w:val="7"/>
          <w:rFonts w:hint="eastAsia" w:ascii="黑体" w:hAnsi="黑体" w:eastAsia="黑体" w:cs="黑体"/>
          <w:b w:val="0"/>
          <w:bCs/>
          <w:i w:val="0"/>
          <w:iCs w:val="0"/>
          <w:caps w:val="0"/>
          <w:color w:val="000000"/>
          <w:spacing w:val="0"/>
          <w:sz w:val="32"/>
          <w:szCs w:val="32"/>
          <w:highlight w:val="none"/>
          <w:shd w:val="clear" w:color="auto" w:fill="FFFFFF"/>
          <w:lang w:val="en-US" w:eastAsia="zh-CN"/>
        </w:rPr>
        <w:t>附件</w:t>
      </w:r>
    </w:p>
    <w:p>
      <w:pPr>
        <w:jc w:val="center"/>
        <w:rPr>
          <w:rStyle w:val="7"/>
          <w:rFonts w:hint="eastAsia" w:ascii="方正小标宋简体" w:hAnsi="方正小标宋简体" w:eastAsia="方正小标宋简体" w:cs="方正小标宋简体"/>
          <w:b w:val="0"/>
          <w:bCs/>
          <w:i w:val="0"/>
          <w:iCs w:val="0"/>
          <w:caps w:val="0"/>
          <w:color w:val="000000"/>
          <w:spacing w:val="0"/>
          <w:sz w:val="44"/>
          <w:szCs w:val="44"/>
          <w:highlight w:val="none"/>
          <w:shd w:val="clear" w:color="auto" w:fill="FFFFFF"/>
        </w:rPr>
      </w:pPr>
      <w:r>
        <w:rPr>
          <w:rStyle w:val="7"/>
          <w:rFonts w:hint="eastAsia" w:ascii="方正小标宋简体" w:hAnsi="方正小标宋简体" w:eastAsia="方正小标宋简体" w:cs="方正小标宋简体"/>
          <w:b w:val="0"/>
          <w:bCs/>
          <w:i w:val="0"/>
          <w:iCs w:val="0"/>
          <w:caps w:val="0"/>
          <w:color w:val="000000"/>
          <w:spacing w:val="0"/>
          <w:sz w:val="44"/>
          <w:szCs w:val="44"/>
          <w:highlight w:val="none"/>
          <w:shd w:val="clear" w:color="auto" w:fill="FFFFFF"/>
          <w:lang w:eastAsia="zh-CN"/>
        </w:rPr>
        <w:t>濠江区</w:t>
      </w:r>
      <w:r>
        <w:rPr>
          <w:rStyle w:val="7"/>
          <w:rFonts w:hint="eastAsia" w:ascii="方正小标宋简体" w:hAnsi="方正小标宋简体" w:eastAsia="方正小标宋简体" w:cs="方正小标宋简体"/>
          <w:b w:val="0"/>
          <w:bCs/>
          <w:i w:val="0"/>
          <w:iCs w:val="0"/>
          <w:caps w:val="0"/>
          <w:color w:val="000000"/>
          <w:spacing w:val="0"/>
          <w:sz w:val="44"/>
          <w:szCs w:val="44"/>
          <w:highlight w:val="none"/>
          <w:shd w:val="clear" w:color="auto" w:fill="FFFFFF"/>
        </w:rPr>
        <w:t>产业</w:t>
      </w:r>
      <w:r>
        <w:rPr>
          <w:rStyle w:val="7"/>
          <w:rFonts w:hint="eastAsia" w:ascii="方正小标宋简体" w:hAnsi="方正小标宋简体" w:eastAsia="方正小标宋简体" w:cs="方正小标宋简体"/>
          <w:b w:val="0"/>
          <w:bCs/>
          <w:i w:val="0"/>
          <w:iCs w:val="0"/>
          <w:caps w:val="0"/>
          <w:color w:val="000000"/>
          <w:spacing w:val="0"/>
          <w:sz w:val="44"/>
          <w:szCs w:val="44"/>
          <w:highlight w:val="none"/>
          <w:shd w:val="clear" w:color="auto" w:fill="FFFFFF"/>
          <w:lang w:eastAsia="zh-CN"/>
        </w:rPr>
        <w:t>项目</w:t>
      </w:r>
      <w:r>
        <w:rPr>
          <w:rStyle w:val="7"/>
          <w:rFonts w:hint="eastAsia" w:ascii="方正小标宋简体" w:hAnsi="方正小标宋简体" w:eastAsia="方正小标宋简体" w:cs="方正小标宋简体"/>
          <w:b w:val="0"/>
          <w:bCs/>
          <w:i w:val="0"/>
          <w:iCs w:val="0"/>
          <w:caps w:val="0"/>
          <w:color w:val="000000"/>
          <w:spacing w:val="0"/>
          <w:sz w:val="44"/>
          <w:szCs w:val="44"/>
          <w:highlight w:val="none"/>
          <w:shd w:val="clear" w:color="auto" w:fill="FFFFFF"/>
        </w:rPr>
        <w:t>准入标准（试行）</w:t>
      </w:r>
    </w:p>
    <w:p>
      <w:pPr>
        <w:keepNext w:val="0"/>
        <w:keepLines w:val="0"/>
        <w:pageBreakBefore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楷体简体" w:cs="Times New Roman"/>
          <w:color w:val="auto"/>
          <w:sz w:val="32"/>
          <w:szCs w:val="32"/>
          <w:highlight w:val="none"/>
          <w:lang w:eastAsia="zh-CN"/>
        </w:rPr>
      </w:pPr>
      <w:r>
        <w:rPr>
          <w:rFonts w:hint="default" w:ascii="Times New Roman" w:hAnsi="Times New Roman" w:eastAsia="方正楷体简体" w:cs="Times New Roman"/>
          <w:color w:val="auto"/>
          <w:sz w:val="32"/>
          <w:szCs w:val="32"/>
          <w:highlight w:val="none"/>
          <w:lang w:eastAsia="zh-CN"/>
        </w:rPr>
        <w:t>（</w:t>
      </w:r>
      <w:r>
        <w:rPr>
          <w:rFonts w:hint="eastAsia" w:ascii="Times New Roman" w:hAnsi="Times New Roman" w:eastAsia="方正楷体简体" w:cs="Times New Roman"/>
          <w:color w:val="auto"/>
          <w:sz w:val="32"/>
          <w:szCs w:val="32"/>
          <w:highlight w:val="none"/>
          <w:lang w:val="en-US" w:eastAsia="zh-CN"/>
        </w:rPr>
        <w:t>征求意见稿</w:t>
      </w:r>
      <w:r>
        <w:rPr>
          <w:rFonts w:hint="default" w:ascii="Times New Roman" w:hAnsi="Times New Roman" w:eastAsia="方正楷体简体" w:cs="Times New Roman"/>
          <w:color w:val="auto"/>
          <w:sz w:val="32"/>
          <w:szCs w:val="32"/>
          <w:highlight w:val="none"/>
          <w:lang w:eastAsia="zh-CN"/>
        </w:rPr>
        <w:t>）</w:t>
      </w:r>
    </w:p>
    <w:p>
      <w:pPr>
        <w:jc w:val="center"/>
        <w:rPr>
          <w:rStyle w:val="7"/>
          <w:rFonts w:hint="eastAsia" w:ascii="方正仿宋简体" w:hAnsi="方正仿宋简体" w:eastAsia="方正仿宋简体" w:cs="方正仿宋简体"/>
          <w:b w:val="0"/>
          <w:bCs/>
          <w:i w:val="0"/>
          <w:iCs w:val="0"/>
          <w:caps w:val="0"/>
          <w:color w:val="000000"/>
          <w:spacing w:val="0"/>
          <w:sz w:val="32"/>
          <w:szCs w:val="32"/>
          <w:highlight w:val="none"/>
          <w:shd w:val="clear" w:color="auto"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default" w:ascii="Times New Roman" w:hAnsi="Times New Roman" w:eastAsia="方正仿宋简体" w:cs="Times New Roman"/>
          <w:i w:val="0"/>
          <w:iCs w:val="0"/>
          <w:caps w:val="0"/>
          <w:color w:val="000000"/>
          <w:spacing w:val="0"/>
          <w:sz w:val="32"/>
          <w:szCs w:val="32"/>
          <w:highlight w:val="none"/>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为进一步规范全区招商引资项目准入管理，全面提升招商引资工作质量，推动经济</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高质量发展</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eastAsia="zh-CN"/>
        </w:rPr>
        <w:t>，</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结合</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eastAsia="zh-CN"/>
        </w:rPr>
        <w:t>我区</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实际，</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eastAsia="zh-CN"/>
        </w:rPr>
        <w:t>特</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制定本标准</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试行）。</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方正黑体简体" w:hAnsi="方正黑体简体" w:eastAsia="方正黑体简体" w:cs="方正黑体简体"/>
          <w:i w:val="0"/>
          <w:iCs w:val="0"/>
          <w:caps w:val="0"/>
          <w:color w:val="000000"/>
          <w:spacing w:val="0"/>
          <w:sz w:val="32"/>
          <w:szCs w:val="32"/>
          <w:highlight w:val="none"/>
        </w:rPr>
      </w:pPr>
      <w:r>
        <w:rPr>
          <w:rFonts w:hint="eastAsia" w:ascii="方正黑体简体" w:hAnsi="方正黑体简体" w:eastAsia="方正黑体简体" w:cs="方正黑体简体"/>
          <w:i w:val="0"/>
          <w:iCs w:val="0"/>
          <w:caps w:val="0"/>
          <w:color w:val="000000"/>
          <w:spacing w:val="0"/>
          <w:sz w:val="32"/>
          <w:szCs w:val="32"/>
          <w:highlight w:val="none"/>
          <w:shd w:val="clear" w:color="auto" w:fill="FFFFFF"/>
        </w:rPr>
        <w:t>一、适用范围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default" w:ascii="Times New Roman" w:hAnsi="Times New Roman" w:eastAsia="方正仿宋简体" w:cs="Times New Roman"/>
          <w:i w:val="0"/>
          <w:iCs w:val="0"/>
          <w:caps w:val="0"/>
          <w:color w:val="000000"/>
          <w:spacing w:val="0"/>
          <w:sz w:val="32"/>
          <w:szCs w:val="32"/>
          <w:highlight w:val="none"/>
          <w:shd w:val="clear" w:color="auto" w:fill="FFFFFF"/>
        </w:rPr>
      </w:pPr>
      <w:r>
        <w:rPr>
          <w:rFonts w:hint="default" w:ascii="Times New Roman" w:hAnsi="Times New Roman" w:eastAsia="方正仿宋简体" w:cs="Times New Roman"/>
          <w:i w:val="0"/>
          <w:iCs w:val="0"/>
          <w:caps w:val="0"/>
          <w:color w:val="000000"/>
          <w:spacing w:val="0"/>
          <w:sz w:val="32"/>
          <w:szCs w:val="32"/>
          <w:highlight w:val="none"/>
          <w:shd w:val="clear" w:color="auto" w:fill="FFFFFF"/>
        </w:rPr>
        <w:t>本标准适用于</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eastAsia="zh-CN"/>
        </w:rPr>
        <w:t>濠江区</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辖区内所有新增</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国有建设用地的工业项目</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pPr>
      <w:r>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t>基本术语</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固定资产</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投资强度：项目用地范围内单位面积</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上的</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固定资产投资额。</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left"/>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pP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计算公式：</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固定资产</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投资强度=项目固定资产投资÷项目总用地面积，</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单位万元/亩。其中，</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项目固定资产投资包括厂房、设备和地价款</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，厂房和设备的投资额按照项目建成进入正常生产时的厂房建造成本和设备购置成本计算，地价款按照土地合同约定成交金额计算。项目总用地面积是指项目用地红线范围内的土地面积。</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right="0" w:rightChars="0" w:firstLine="640" w:firstLineChars="200"/>
        <w:jc w:val="left"/>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亩均产值：企业一年之内项目用地范围内单位土地面积上的年产值或年营业收入。</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left"/>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计算公式：亩均产值</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项目年产值或年营业收入</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÷项目总用地面积，</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单位万元/亩。</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left"/>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（三）亩均税收：企业一年之内项目用地范围内单位土地面积上的税收值。</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left"/>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计算公式：亩均税收</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项目纳税总额</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t>÷项目总用地面积</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，单位万元/亩。其中，项目纳税总额不包括企业一次性税收和企业个所税。</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left"/>
        <w:rPr>
          <w:rFonts w:hint="default" w:ascii="Times New Roman" w:hAnsi="Times New Roman" w:eastAsia="方正仿宋简体" w:cs="Times New Roman"/>
          <w:i w:val="0"/>
          <w:iCs w:val="0"/>
          <w:caps w:val="0"/>
          <w:color w:val="000000"/>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（四）本标准行业代码及行业名称来自《国民经济行业分类（GB/T4754—2017）》门类。</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pPr>
      <w:r>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t>项目准入条件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default" w:ascii="Times New Roman" w:hAnsi="Times New Roman" w:eastAsia="方正仿宋简体" w:cs="Times New Roman"/>
          <w:i w:val="0"/>
          <w:iCs w:val="0"/>
          <w:caps w:val="0"/>
          <w:color w:val="000000"/>
          <w:spacing w:val="0"/>
          <w:sz w:val="32"/>
          <w:szCs w:val="32"/>
          <w:highlight w:val="none"/>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（一）</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项目符合符合</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eastAsia="zh-CN"/>
        </w:rPr>
        <w:t>濠江区</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产业发展、土地空间利用等</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有关</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（二）</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项目符合国家节能降耗、环境保护等规定要求，严格执行污染物排放总量控制和平衡，生产工艺必须达到安全生产、消防、卫生等有关要求</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default" w:ascii="Times New Roman" w:hAnsi="Times New Roman" w:eastAsia="方正仿宋简体" w:cs="Times New Roman"/>
          <w:i w:val="0"/>
          <w:iCs w:val="0"/>
          <w:caps w:val="0"/>
          <w:color w:val="auto"/>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（三）项目不属于国家</w:t>
      </w:r>
      <w:r>
        <w:rPr>
          <w:rFonts w:hint="default" w:ascii="Times New Roman" w:hAnsi="Times New Roman" w:eastAsia="方正仿宋简体" w:cs="Times New Roman"/>
          <w:i w:val="0"/>
          <w:iCs w:val="0"/>
          <w:caps w:val="0"/>
          <w:color w:val="auto"/>
          <w:spacing w:val="0"/>
          <w:sz w:val="32"/>
          <w:szCs w:val="32"/>
          <w:highlight w:val="none"/>
          <w:shd w:val="clear" w:color="auto" w:fill="FFFFFF"/>
          <w:lang w:val="en-US" w:eastAsia="zh-CN"/>
        </w:rPr>
        <w:t>《产业结构调整指导目录</w:t>
      </w: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（2019年本）》《</w:t>
      </w:r>
      <w:r>
        <w:rPr>
          <w:rFonts w:hint="default" w:ascii="Times New Roman" w:hAnsi="Times New Roman" w:eastAsia="方正仿宋简体" w:cs="Times New Roman"/>
          <w:i w:val="0"/>
          <w:iCs w:val="0"/>
          <w:caps w:val="0"/>
          <w:color w:val="auto"/>
          <w:spacing w:val="0"/>
          <w:sz w:val="32"/>
          <w:szCs w:val="32"/>
          <w:highlight w:val="none"/>
          <w:shd w:val="clear" w:color="auto" w:fill="FFFFFF"/>
          <w:lang w:val="en-US" w:eastAsia="zh-CN"/>
        </w:rPr>
        <w:t>汕头市产业发展指导目录（2022年本）》</w:t>
      </w: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规定需淘汰的落后工艺技术、装备及产品；不属于国家、省、市有关法律、法规和政策禁止的项目</w:t>
      </w:r>
      <w:r>
        <w:rPr>
          <w:rFonts w:hint="default" w:ascii="Times New Roman" w:hAnsi="Times New Roman" w:eastAsia="方正仿宋简体" w:cs="Times New Roman"/>
          <w:i w:val="0"/>
          <w:iCs w:val="0"/>
          <w:caps w:val="0"/>
          <w:color w:val="auto"/>
          <w:spacing w:val="0"/>
          <w:sz w:val="32"/>
          <w:szCs w:val="32"/>
          <w:highlight w:val="none"/>
          <w:shd w:val="clear" w:color="auto" w:fill="FFFFFF"/>
          <w:lang w:val="en-US"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default" w:ascii="Times New Roman" w:hAnsi="Times New Roman" w:eastAsia="方正仿宋简体" w:cs="Times New Roman"/>
          <w:i w:val="0"/>
          <w:iCs w:val="0"/>
          <w:caps w:val="0"/>
          <w:color w:val="auto"/>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（四）项目所在企业的工商注册地、税收征管关系及统计关系在濠江区范围内，承诺一定期限内不迁离濠江区、不改变纳税关系，并具有独立核算法人资格的企业。</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pPr>
      <w:r>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t>项目准入指标</w:t>
      </w:r>
    </w:p>
    <w:p>
      <w:pPr>
        <w:keepNext w:val="0"/>
        <w:keepLines w:val="0"/>
        <w:widowControl/>
        <w:suppressLineNumbers w:val="0"/>
        <w:ind w:firstLine="640" w:firstLineChars="200"/>
        <w:jc w:val="left"/>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根据《广东省工业和信息化厅 广东省自然资源厅关于印发广东省工业用地“标准地”供应工作指引（试行）的通知》（粤工信规字〔2022〕2号）、《汕头市发展和改革局 汕头市自然资源局 汕头市投资促进局关于印发&lt;汕头市产业地图&gt;的通知》（汕市发改函﹝2022﹞754号）有关项目准入参考指引，结合濠江区实际情况，形成项目准入指标如下：</w:t>
      </w:r>
    </w:p>
    <w:tbl>
      <w:tblPr>
        <w:tblStyle w:val="4"/>
        <w:tblW w:w="478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31"/>
        <w:gridCol w:w="2314"/>
        <w:gridCol w:w="2071"/>
        <w:gridCol w:w="20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blHeader/>
        </w:trPr>
        <w:tc>
          <w:tcPr>
            <w:tcW w:w="12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简体" w:hAnsi="方正黑体简体" w:eastAsia="方正黑体简体" w:cs="方正黑体简体"/>
                <w:i w:val="0"/>
                <w:iCs w:val="0"/>
                <w:color w:val="000000"/>
                <w:sz w:val="30"/>
                <w:szCs w:val="30"/>
                <w:u w:val="none"/>
              </w:rPr>
            </w:pPr>
            <w:r>
              <w:rPr>
                <w:rFonts w:hint="eastAsia" w:ascii="方正黑体简体" w:hAnsi="方正黑体简体" w:eastAsia="方正黑体简体" w:cs="方正黑体简体"/>
                <w:i w:val="0"/>
                <w:iCs w:val="0"/>
                <w:color w:val="000000"/>
                <w:kern w:val="0"/>
                <w:sz w:val="30"/>
                <w:szCs w:val="30"/>
                <w:u w:val="none"/>
                <w:lang w:val="en-US" w:eastAsia="zh-CN" w:bidi="ar"/>
              </w:rPr>
              <w:t>产业类别</w:t>
            </w:r>
          </w:p>
        </w:tc>
        <w:tc>
          <w:tcPr>
            <w:tcW w:w="1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简体" w:hAnsi="方正黑体简体" w:eastAsia="方正黑体简体" w:cs="方正黑体简体"/>
                <w:i w:val="0"/>
                <w:iCs w:val="0"/>
                <w:color w:val="000000"/>
                <w:sz w:val="30"/>
                <w:szCs w:val="30"/>
                <w:u w:val="none"/>
              </w:rPr>
            </w:pPr>
            <w:r>
              <w:rPr>
                <w:rFonts w:hint="eastAsia" w:ascii="方正黑体简体" w:hAnsi="方正黑体简体" w:eastAsia="方正黑体简体" w:cs="方正黑体简体"/>
                <w:i w:val="0"/>
                <w:iCs w:val="0"/>
                <w:color w:val="000000"/>
                <w:kern w:val="0"/>
                <w:sz w:val="30"/>
                <w:szCs w:val="30"/>
                <w:u w:val="none"/>
                <w:lang w:val="en-US" w:eastAsia="zh-CN" w:bidi="ar"/>
              </w:rPr>
              <w:t>固定资产投资强度（万元/亩）</w:t>
            </w:r>
          </w:p>
        </w:tc>
        <w:tc>
          <w:tcPr>
            <w:tcW w:w="12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简体" w:hAnsi="方正黑体简体" w:eastAsia="方正黑体简体" w:cs="方正黑体简体"/>
                <w:i w:val="0"/>
                <w:iCs w:val="0"/>
                <w:color w:val="000000"/>
                <w:kern w:val="0"/>
                <w:sz w:val="30"/>
                <w:szCs w:val="30"/>
                <w:u w:val="none"/>
                <w:lang w:val="en-US" w:eastAsia="zh-CN" w:bidi="ar"/>
              </w:rPr>
            </w:pPr>
            <w:r>
              <w:rPr>
                <w:rFonts w:hint="eastAsia" w:ascii="方正黑体简体" w:hAnsi="方正黑体简体" w:eastAsia="方正黑体简体" w:cs="方正黑体简体"/>
                <w:i w:val="0"/>
                <w:iCs w:val="0"/>
                <w:color w:val="000000"/>
                <w:kern w:val="0"/>
                <w:sz w:val="30"/>
                <w:szCs w:val="30"/>
                <w:u w:val="none"/>
                <w:lang w:val="en-US" w:eastAsia="zh-CN" w:bidi="ar"/>
              </w:rPr>
              <w:t>亩均产值</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简体" w:hAnsi="方正黑体简体" w:eastAsia="方正黑体简体" w:cs="方正黑体简体"/>
                <w:i w:val="0"/>
                <w:iCs w:val="0"/>
                <w:color w:val="000000"/>
                <w:sz w:val="30"/>
                <w:szCs w:val="30"/>
                <w:u w:val="none"/>
              </w:rPr>
            </w:pPr>
            <w:r>
              <w:rPr>
                <w:rFonts w:hint="eastAsia" w:ascii="方正黑体简体" w:hAnsi="方正黑体简体" w:eastAsia="方正黑体简体" w:cs="方正黑体简体"/>
                <w:i w:val="0"/>
                <w:iCs w:val="0"/>
                <w:color w:val="000000"/>
                <w:kern w:val="0"/>
                <w:sz w:val="30"/>
                <w:szCs w:val="30"/>
                <w:u w:val="none"/>
                <w:lang w:val="en-US" w:eastAsia="zh-CN" w:bidi="ar"/>
              </w:rPr>
              <w:t>（万元/亩）</w:t>
            </w:r>
          </w:p>
        </w:tc>
        <w:tc>
          <w:tcPr>
            <w:tcW w:w="11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简体" w:hAnsi="方正黑体简体" w:eastAsia="方正黑体简体" w:cs="方正黑体简体"/>
                <w:i w:val="0"/>
                <w:iCs w:val="0"/>
                <w:color w:val="000000"/>
                <w:kern w:val="0"/>
                <w:sz w:val="30"/>
                <w:szCs w:val="30"/>
                <w:u w:val="none"/>
                <w:lang w:val="en-US" w:eastAsia="zh-CN" w:bidi="ar"/>
              </w:rPr>
            </w:pPr>
            <w:r>
              <w:rPr>
                <w:rFonts w:hint="eastAsia" w:ascii="方正黑体简体" w:hAnsi="方正黑体简体" w:eastAsia="方正黑体简体" w:cs="方正黑体简体"/>
                <w:i w:val="0"/>
                <w:iCs w:val="0"/>
                <w:color w:val="000000"/>
                <w:kern w:val="0"/>
                <w:sz w:val="30"/>
                <w:szCs w:val="30"/>
                <w:u w:val="none"/>
                <w:lang w:val="en-US" w:eastAsia="zh-CN" w:bidi="ar"/>
              </w:rPr>
              <w:t>亩均税收</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简体" w:hAnsi="方正黑体简体" w:eastAsia="方正黑体简体" w:cs="方正黑体简体"/>
                <w:i w:val="0"/>
                <w:iCs w:val="0"/>
                <w:color w:val="000000"/>
                <w:sz w:val="30"/>
                <w:szCs w:val="30"/>
                <w:u w:val="none"/>
              </w:rPr>
            </w:pPr>
            <w:r>
              <w:rPr>
                <w:rFonts w:hint="eastAsia" w:ascii="方正黑体简体" w:hAnsi="方正黑体简体" w:eastAsia="方正黑体简体" w:cs="方正黑体简体"/>
                <w:i w:val="0"/>
                <w:iCs w:val="0"/>
                <w:color w:val="000000"/>
                <w:kern w:val="0"/>
                <w:sz w:val="30"/>
                <w:szCs w:val="30"/>
                <w:u w:val="none"/>
                <w:lang w:val="en-US" w:eastAsia="zh-CN" w:bidi="ar"/>
              </w:rPr>
              <w:t>（万元/亩）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blHeader/>
        </w:trPr>
        <w:tc>
          <w:tcPr>
            <w:tcW w:w="12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简体" w:cs="Times New Roman"/>
                <w:i w:val="0"/>
                <w:iCs w:val="0"/>
                <w:color w:val="000000"/>
                <w:sz w:val="20"/>
                <w:szCs w:val="20"/>
                <w:u w:val="none"/>
              </w:rPr>
            </w:pPr>
          </w:p>
        </w:tc>
        <w:tc>
          <w:tcPr>
            <w:tcW w:w="1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简体" w:cs="Times New Roman"/>
                <w:i w:val="0"/>
                <w:iCs w:val="0"/>
                <w:color w:val="000000"/>
                <w:sz w:val="20"/>
                <w:szCs w:val="20"/>
                <w:u w:val="none"/>
              </w:rPr>
            </w:pPr>
          </w:p>
        </w:tc>
        <w:tc>
          <w:tcPr>
            <w:tcW w:w="12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简体" w:cs="Times New Roman"/>
                <w:i w:val="0"/>
                <w:iCs w:val="0"/>
                <w:color w:val="000000"/>
                <w:sz w:val="20"/>
                <w:szCs w:val="20"/>
                <w:u w:val="none"/>
              </w:rPr>
            </w:pPr>
          </w:p>
        </w:tc>
        <w:tc>
          <w:tcPr>
            <w:tcW w:w="11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default" w:ascii="Times New Roman" w:hAnsi="Times New Roman" w:eastAsia="方正仿宋简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1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default" w:ascii="Times New Roman" w:hAnsi="Times New Roman" w:eastAsia="方正仿宋简体" w:cs="Times New Roman"/>
                <w:i w:val="0"/>
                <w:iCs w:val="0"/>
                <w:color w:val="000000"/>
                <w:kern w:val="0"/>
                <w:sz w:val="30"/>
                <w:szCs w:val="30"/>
                <w:u w:val="none"/>
                <w:lang w:val="en-US" w:eastAsia="zh-CN" w:bidi="ar"/>
              </w:rPr>
              <w:t>新能源产业</w:t>
            </w:r>
          </w:p>
        </w:tc>
        <w:tc>
          <w:tcPr>
            <w:tcW w:w="1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250-</w:t>
            </w:r>
            <w:r>
              <w:rPr>
                <w:rFonts w:hint="default" w:ascii="Times New Roman" w:hAnsi="Times New Roman" w:eastAsia="方正仿宋简体" w:cs="Times New Roman"/>
                <w:i w:val="0"/>
                <w:iCs w:val="0"/>
                <w:color w:val="000000"/>
                <w:kern w:val="0"/>
                <w:sz w:val="30"/>
                <w:szCs w:val="30"/>
                <w:u w:val="none"/>
                <w:lang w:val="en-US" w:eastAsia="zh-CN" w:bidi="ar"/>
              </w:rPr>
              <w:t>300</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300-60</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1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lang w:val="en-US"/>
              </w:rPr>
            </w:pPr>
            <w:r>
              <w:rPr>
                <w:rFonts w:hint="eastAsia" w:ascii="Times New Roman" w:hAnsi="Times New Roman" w:eastAsia="方正仿宋简体" w:cs="Times New Roman"/>
                <w:i w:val="0"/>
                <w:iCs w:val="0"/>
                <w:color w:val="000000"/>
                <w:kern w:val="0"/>
                <w:sz w:val="30"/>
                <w:szCs w:val="30"/>
                <w:u w:val="none"/>
                <w:lang w:val="en-US" w:eastAsia="zh-CN" w:bidi="ar"/>
              </w:rPr>
              <w:t>15-30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1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default" w:ascii="Times New Roman" w:hAnsi="Times New Roman" w:eastAsia="方正仿宋简体" w:cs="Times New Roman"/>
                <w:i w:val="0"/>
                <w:iCs w:val="0"/>
                <w:color w:val="000000"/>
                <w:kern w:val="0"/>
                <w:sz w:val="30"/>
                <w:szCs w:val="30"/>
                <w:u w:val="none"/>
                <w:lang w:val="en-US" w:eastAsia="zh-CN" w:bidi="ar"/>
              </w:rPr>
              <w:t>新材料产业</w:t>
            </w:r>
          </w:p>
        </w:tc>
        <w:tc>
          <w:tcPr>
            <w:tcW w:w="1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lang w:val="en-US"/>
              </w:rPr>
            </w:pPr>
            <w:r>
              <w:rPr>
                <w:rFonts w:hint="eastAsia" w:ascii="Times New Roman" w:hAnsi="Times New Roman" w:eastAsia="方正仿宋简体" w:cs="Times New Roman"/>
                <w:i w:val="0"/>
                <w:iCs w:val="0"/>
                <w:color w:val="000000"/>
                <w:kern w:val="0"/>
                <w:sz w:val="30"/>
                <w:szCs w:val="30"/>
                <w:u w:val="none"/>
                <w:lang w:val="en-US" w:eastAsia="zh-CN" w:bidi="ar"/>
              </w:rPr>
              <w:t>250-</w:t>
            </w:r>
            <w:r>
              <w:rPr>
                <w:rFonts w:hint="default" w:ascii="Times New Roman" w:hAnsi="Times New Roman" w:eastAsia="方正仿宋简体" w:cs="Times New Roman"/>
                <w:i w:val="0"/>
                <w:iCs w:val="0"/>
                <w:color w:val="000000"/>
                <w:kern w:val="0"/>
                <w:sz w:val="30"/>
                <w:szCs w:val="30"/>
                <w:u w:val="none"/>
                <w:lang w:val="en-US" w:eastAsia="zh-CN" w:bidi="ar"/>
              </w:rPr>
              <w:t>300</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400-70</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1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lang w:val="en-US"/>
              </w:rPr>
            </w:pPr>
            <w:r>
              <w:rPr>
                <w:rFonts w:hint="eastAsia" w:ascii="Times New Roman" w:hAnsi="Times New Roman" w:eastAsia="方正仿宋简体" w:cs="Times New Roman"/>
                <w:i w:val="0"/>
                <w:iCs w:val="0"/>
                <w:color w:val="000000"/>
                <w:kern w:val="0"/>
                <w:sz w:val="30"/>
                <w:szCs w:val="30"/>
                <w:u w:val="none"/>
                <w:lang w:val="en-US" w:eastAsia="zh-CN" w:bidi="ar"/>
              </w:rPr>
              <w:t>15-30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1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default" w:ascii="Times New Roman" w:hAnsi="Times New Roman" w:eastAsia="方正仿宋简体" w:cs="Times New Roman"/>
                <w:i w:val="0"/>
                <w:iCs w:val="0"/>
                <w:color w:val="000000"/>
                <w:kern w:val="0"/>
                <w:sz w:val="30"/>
                <w:szCs w:val="30"/>
                <w:u w:val="none"/>
                <w:lang w:val="en-US" w:eastAsia="zh-CN" w:bidi="ar"/>
              </w:rPr>
              <w:t>新一代电子信息</w:t>
            </w:r>
            <w:r>
              <w:rPr>
                <w:rFonts w:hint="eastAsia" w:ascii="Times New Roman" w:hAnsi="Times New Roman" w:eastAsia="方正仿宋简体" w:cs="Times New Roman"/>
                <w:i w:val="0"/>
                <w:iCs w:val="0"/>
                <w:color w:val="000000"/>
                <w:kern w:val="0"/>
                <w:sz w:val="30"/>
                <w:szCs w:val="30"/>
                <w:u w:val="none"/>
                <w:lang w:val="en-US" w:eastAsia="zh-CN" w:bidi="ar"/>
              </w:rPr>
              <w:t>产业</w:t>
            </w:r>
          </w:p>
        </w:tc>
        <w:tc>
          <w:tcPr>
            <w:tcW w:w="1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300-</w:t>
            </w:r>
            <w:r>
              <w:rPr>
                <w:rFonts w:hint="default" w:ascii="Times New Roman" w:hAnsi="Times New Roman" w:eastAsia="方正仿宋简体" w:cs="Times New Roman"/>
                <w:i w:val="0"/>
                <w:iCs w:val="0"/>
                <w:color w:val="000000"/>
                <w:kern w:val="0"/>
                <w:sz w:val="30"/>
                <w:szCs w:val="30"/>
                <w:u w:val="none"/>
                <w:lang w:val="en-US" w:eastAsia="zh-CN" w:bidi="ar"/>
              </w:rPr>
              <w:t>3</w:t>
            </w:r>
            <w:r>
              <w:rPr>
                <w:rFonts w:hint="eastAsia" w:ascii="Times New Roman" w:hAnsi="Times New Roman" w:eastAsia="方正仿宋简体" w:cs="Times New Roman"/>
                <w:i w:val="0"/>
                <w:iCs w:val="0"/>
                <w:color w:val="000000"/>
                <w:kern w:val="0"/>
                <w:sz w:val="30"/>
                <w:szCs w:val="30"/>
                <w:u w:val="none"/>
                <w:lang w:val="en-US" w:eastAsia="zh-CN" w:bidi="ar"/>
              </w:rPr>
              <w:t>5</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400-80</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1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25-35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1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default" w:ascii="Times New Roman" w:hAnsi="Times New Roman" w:eastAsia="方正仿宋简体" w:cs="Times New Roman"/>
                <w:i w:val="0"/>
                <w:iCs w:val="0"/>
                <w:color w:val="000000"/>
                <w:kern w:val="0"/>
                <w:sz w:val="30"/>
                <w:szCs w:val="30"/>
                <w:u w:val="none"/>
                <w:lang w:val="en-US" w:eastAsia="zh-CN" w:bidi="ar"/>
              </w:rPr>
              <w:t>纺织服装产业</w:t>
            </w:r>
          </w:p>
        </w:tc>
        <w:tc>
          <w:tcPr>
            <w:tcW w:w="1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eastAsia" w:ascii="Times New Roman" w:hAnsi="Times New Roman" w:eastAsia="方正仿宋简体" w:cs="Times New Roman"/>
                <w:i w:val="0"/>
                <w:iCs w:val="0"/>
                <w:color w:val="000000"/>
                <w:kern w:val="0"/>
                <w:sz w:val="30"/>
                <w:szCs w:val="30"/>
                <w:u w:val="none"/>
                <w:lang w:val="en-US" w:eastAsia="zh-CN" w:bidi="ar"/>
              </w:rPr>
              <w:t>200-25</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eastAsia" w:ascii="Times New Roman" w:hAnsi="Times New Roman" w:eastAsia="方正仿宋简体" w:cs="Times New Roman"/>
                <w:i w:val="0"/>
                <w:iCs w:val="0"/>
                <w:color w:val="000000"/>
                <w:kern w:val="0"/>
                <w:sz w:val="30"/>
                <w:szCs w:val="30"/>
                <w:u w:val="none"/>
                <w:lang w:val="en-US" w:eastAsia="zh-CN" w:bidi="ar"/>
              </w:rPr>
              <w:t>200-60</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1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eastAsia" w:ascii="Times New Roman" w:hAnsi="Times New Roman" w:eastAsia="方正仿宋简体" w:cs="Times New Roman"/>
                <w:i w:val="0"/>
                <w:iCs w:val="0"/>
                <w:color w:val="000000"/>
                <w:kern w:val="0"/>
                <w:sz w:val="30"/>
                <w:szCs w:val="30"/>
                <w:u w:val="none"/>
                <w:lang w:val="en-US" w:eastAsia="zh-CN" w:bidi="ar"/>
              </w:rPr>
              <w:t>15-30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1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default" w:ascii="Times New Roman" w:hAnsi="Times New Roman" w:eastAsia="方正仿宋简体" w:cs="Times New Roman"/>
                <w:i w:val="0"/>
                <w:iCs w:val="0"/>
                <w:color w:val="000000"/>
                <w:kern w:val="0"/>
                <w:sz w:val="30"/>
                <w:szCs w:val="30"/>
                <w:u w:val="none"/>
                <w:lang w:val="en-US" w:eastAsia="zh-CN" w:bidi="ar"/>
              </w:rPr>
              <w:t>玩具创意产业</w:t>
            </w:r>
          </w:p>
        </w:tc>
        <w:tc>
          <w:tcPr>
            <w:tcW w:w="1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eastAsia" w:ascii="Times New Roman" w:hAnsi="Times New Roman" w:eastAsia="方正仿宋简体" w:cs="Times New Roman"/>
                <w:i w:val="0"/>
                <w:iCs w:val="0"/>
                <w:color w:val="000000"/>
                <w:kern w:val="0"/>
                <w:sz w:val="30"/>
                <w:szCs w:val="30"/>
                <w:u w:val="none"/>
                <w:lang w:val="en-US" w:eastAsia="zh-CN" w:bidi="ar"/>
              </w:rPr>
              <w:t>200-25</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eastAsia" w:ascii="Times New Roman" w:hAnsi="Times New Roman" w:eastAsia="方正仿宋简体" w:cs="Times New Roman"/>
                <w:i w:val="0"/>
                <w:iCs w:val="0"/>
                <w:color w:val="000000"/>
                <w:kern w:val="0"/>
                <w:sz w:val="30"/>
                <w:szCs w:val="30"/>
                <w:u w:val="none"/>
                <w:lang w:val="en-US" w:eastAsia="zh-CN" w:bidi="ar"/>
              </w:rPr>
              <w:t>400-70</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1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2"/>
                <w:sz w:val="30"/>
                <w:szCs w:val="30"/>
                <w:u w:val="none"/>
                <w:lang w:val="en-US" w:eastAsia="zh-CN" w:bidi="ar-SA"/>
              </w:rPr>
            </w:pPr>
            <w:r>
              <w:rPr>
                <w:rFonts w:hint="eastAsia" w:ascii="Times New Roman" w:hAnsi="Times New Roman" w:eastAsia="方正仿宋简体" w:cs="Times New Roman"/>
                <w:i w:val="0"/>
                <w:iCs w:val="0"/>
                <w:color w:val="000000"/>
                <w:kern w:val="0"/>
                <w:sz w:val="30"/>
                <w:szCs w:val="30"/>
                <w:u w:val="none"/>
                <w:lang w:val="en-US" w:eastAsia="zh-CN" w:bidi="ar"/>
              </w:rPr>
              <w:t>15-30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12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default" w:ascii="Times New Roman" w:hAnsi="Times New Roman" w:eastAsia="方正仿宋简体" w:cs="Times New Roman"/>
                <w:i w:val="0"/>
                <w:iCs w:val="0"/>
                <w:color w:val="000000"/>
                <w:kern w:val="0"/>
                <w:sz w:val="30"/>
                <w:szCs w:val="30"/>
                <w:u w:val="none"/>
                <w:lang w:val="en-US" w:eastAsia="zh-CN" w:bidi="ar"/>
              </w:rPr>
              <w:t>大健康产业</w:t>
            </w:r>
          </w:p>
        </w:tc>
        <w:tc>
          <w:tcPr>
            <w:tcW w:w="1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250-</w:t>
            </w:r>
            <w:r>
              <w:rPr>
                <w:rFonts w:hint="default" w:ascii="Times New Roman" w:hAnsi="Times New Roman" w:eastAsia="方正仿宋简体" w:cs="Times New Roman"/>
                <w:i w:val="0"/>
                <w:iCs w:val="0"/>
                <w:color w:val="000000"/>
                <w:kern w:val="0"/>
                <w:sz w:val="30"/>
                <w:szCs w:val="30"/>
                <w:u w:val="none"/>
                <w:lang w:val="en-US" w:eastAsia="zh-CN" w:bidi="ar"/>
              </w:rPr>
              <w:t>300</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rPr>
            </w:pPr>
            <w:r>
              <w:rPr>
                <w:rFonts w:hint="eastAsia" w:ascii="Times New Roman" w:hAnsi="Times New Roman" w:eastAsia="方正仿宋简体" w:cs="Times New Roman"/>
                <w:i w:val="0"/>
                <w:iCs w:val="0"/>
                <w:color w:val="000000"/>
                <w:kern w:val="0"/>
                <w:sz w:val="30"/>
                <w:szCs w:val="30"/>
                <w:u w:val="none"/>
                <w:lang w:val="en-US" w:eastAsia="zh-CN" w:bidi="ar"/>
              </w:rPr>
              <w:t>400-80</w:t>
            </w:r>
            <w:r>
              <w:rPr>
                <w:rFonts w:hint="default" w:ascii="Times New Roman" w:hAnsi="Times New Roman" w:eastAsia="方正仿宋简体" w:cs="Times New Roman"/>
                <w:i w:val="0"/>
                <w:iCs w:val="0"/>
                <w:color w:val="000000"/>
                <w:kern w:val="0"/>
                <w:sz w:val="30"/>
                <w:szCs w:val="30"/>
                <w:u w:val="none"/>
                <w:lang w:val="en-US" w:eastAsia="zh-CN" w:bidi="ar"/>
              </w:rPr>
              <w:t>0</w:t>
            </w:r>
          </w:p>
        </w:tc>
        <w:tc>
          <w:tcPr>
            <w:tcW w:w="11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30"/>
                <w:szCs w:val="30"/>
                <w:u w:val="none"/>
                <w:lang w:val="en-US"/>
              </w:rPr>
            </w:pPr>
            <w:r>
              <w:rPr>
                <w:rFonts w:hint="eastAsia" w:ascii="Times New Roman" w:hAnsi="Times New Roman" w:eastAsia="方正仿宋简体" w:cs="Times New Roman"/>
                <w:i w:val="0"/>
                <w:iCs w:val="0"/>
                <w:color w:val="000000"/>
                <w:kern w:val="0"/>
                <w:sz w:val="30"/>
                <w:szCs w:val="30"/>
                <w:u w:val="none"/>
                <w:lang w:val="en-US" w:eastAsia="zh-CN" w:bidi="ar"/>
              </w:rPr>
              <w:t>25-35</w:t>
            </w:r>
          </w:p>
        </w:tc>
      </w:tr>
    </w:tbl>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pPr>
      <w:r>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t>优先准入原则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pPr>
      <w:r>
        <w:rPr>
          <w:rFonts w:hint="default" w:ascii="Times New Roman" w:hAnsi="Times New Roman" w:eastAsia="方正仿宋简体" w:cs="Times New Roman"/>
          <w:i w:val="0"/>
          <w:iCs w:val="0"/>
          <w:caps w:val="0"/>
          <w:color w:val="000000"/>
          <w:spacing w:val="0"/>
          <w:sz w:val="32"/>
          <w:szCs w:val="32"/>
          <w:highlight w:val="none"/>
          <w:shd w:val="clear" w:color="auto" w:fill="FFFFFF"/>
        </w:rPr>
        <w:t>符合本标准规定的准入条件，具备下列条件之一的投资项目</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可根据实际情况</w:t>
      </w:r>
      <w:r>
        <w:rPr>
          <w:rFonts w:hint="eastAsia" w:ascii="仿宋" w:hAnsi="仿宋" w:eastAsia="仿宋" w:cs="仿宋"/>
          <w:i w:val="0"/>
          <w:iCs w:val="0"/>
          <w:caps w:val="0"/>
          <w:color w:val="333333"/>
          <w:spacing w:val="0"/>
          <w:sz w:val="32"/>
          <w:szCs w:val="32"/>
          <w:shd w:val="clear" w:color="auto" w:fill="FFFFFF"/>
        </w:rPr>
        <w:t>给予</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优先准入</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default" w:ascii="Times New Roman" w:hAnsi="Times New Roman" w:eastAsia="方正仿宋简体" w:cs="Times New Roman"/>
          <w:i w:val="0"/>
          <w:iCs w:val="0"/>
          <w:caps w:val="0"/>
          <w:color w:val="000000"/>
          <w:spacing w:val="0"/>
          <w:sz w:val="32"/>
          <w:szCs w:val="32"/>
          <w:highlight w:val="none"/>
        </w:rPr>
      </w:pPr>
      <w:r>
        <w:rPr>
          <w:rFonts w:hint="default" w:ascii="Times New Roman" w:hAnsi="Times New Roman" w:eastAsia="方正仿宋简体" w:cs="Times New Roman"/>
          <w:i w:val="0"/>
          <w:iCs w:val="0"/>
          <w:caps w:val="0"/>
          <w:color w:val="000000"/>
          <w:spacing w:val="0"/>
          <w:sz w:val="32"/>
          <w:szCs w:val="32"/>
          <w:highlight w:val="none"/>
          <w:shd w:val="clear" w:color="auto" w:fill="FFFFFF"/>
        </w:rPr>
        <w:t>（</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一</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）投资主体</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为</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世界500强、中国500强、央企、行业领军企业或上市公司。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default" w:ascii="Times New Roman" w:hAnsi="Times New Roman" w:eastAsia="方正仿宋简体" w:cs="Times New Roman"/>
          <w:i w:val="0"/>
          <w:iCs w:val="0"/>
          <w:caps w:val="0"/>
          <w:color w:val="000000"/>
          <w:spacing w:val="0"/>
          <w:sz w:val="32"/>
          <w:szCs w:val="32"/>
          <w:highlight w:val="none"/>
        </w:rPr>
      </w:pPr>
      <w:r>
        <w:rPr>
          <w:rFonts w:hint="default" w:ascii="Times New Roman" w:hAnsi="Times New Roman" w:eastAsia="方正仿宋简体" w:cs="Times New Roman"/>
          <w:i w:val="0"/>
          <w:iCs w:val="0"/>
          <w:caps w:val="0"/>
          <w:color w:val="000000"/>
          <w:spacing w:val="0"/>
          <w:sz w:val="32"/>
          <w:szCs w:val="32"/>
          <w:highlight w:val="none"/>
          <w:shd w:val="clear" w:color="auto" w:fill="FFFFFF"/>
        </w:rPr>
        <w:t>（</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二</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）投资主体</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为</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国家级品牌企业或国家重点支持的高新技术企业，建有经认定的博士后工作站、省级以上企业技术中心、工程技术研究中心、重点实验室，团队核心成员</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为</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海外或省级以上领军人才。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default" w:ascii="Times New Roman" w:hAnsi="Times New Roman" w:eastAsia="方正仿宋简体" w:cs="Times New Roman"/>
          <w:i w:val="0"/>
          <w:iCs w:val="0"/>
          <w:caps w:val="0"/>
          <w:color w:val="000000"/>
          <w:spacing w:val="0"/>
          <w:sz w:val="32"/>
          <w:szCs w:val="32"/>
          <w:highlight w:val="none"/>
          <w:shd w:val="clear" w:color="auto" w:fill="FFFFFF"/>
        </w:rPr>
      </w:pPr>
      <w:r>
        <w:rPr>
          <w:rFonts w:hint="default" w:ascii="Times New Roman" w:hAnsi="Times New Roman" w:eastAsia="方正仿宋简体" w:cs="Times New Roman"/>
          <w:i w:val="0"/>
          <w:iCs w:val="0"/>
          <w:caps w:val="0"/>
          <w:color w:val="000000"/>
          <w:spacing w:val="0"/>
          <w:sz w:val="32"/>
          <w:szCs w:val="32"/>
          <w:highlight w:val="none"/>
          <w:shd w:val="clear" w:color="auto" w:fill="FFFFFF"/>
        </w:rPr>
        <w:t>（</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三</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）属于国家、省</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、市</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重点支持高新技术领域，在核心关键技术拥有自主知识产权。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Times New Roman" w:hAnsi="Times New Roman" w:eastAsia="方正仿宋简体" w:cs="Times New Roman"/>
          <w:i w:val="0"/>
          <w:iCs w:val="0"/>
          <w:caps w:val="0"/>
          <w:color w:val="000000"/>
          <w:spacing w:val="0"/>
          <w:sz w:val="32"/>
          <w:szCs w:val="32"/>
          <w:highlight w:val="none"/>
          <w:shd w:val="clear" w:color="auto" w:fill="FFFFFF"/>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rPr>
        <w:t>（</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四</w:t>
      </w:r>
      <w:r>
        <w:rPr>
          <w:rFonts w:hint="eastAsia" w:ascii="Times New Roman" w:hAnsi="Times New Roman" w:eastAsia="方正仿宋简体" w:cs="Times New Roman"/>
          <w:i w:val="0"/>
          <w:iCs w:val="0"/>
          <w:caps w:val="0"/>
          <w:color w:val="000000"/>
          <w:spacing w:val="0"/>
          <w:sz w:val="32"/>
          <w:szCs w:val="32"/>
          <w:highlight w:val="none"/>
          <w:shd w:val="clear" w:color="auto" w:fill="FFFFFF"/>
        </w:rPr>
        <w:t>）固定资产投资额超10亿元的项目。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default" w:ascii="Times New Roman" w:hAnsi="Times New Roman" w:eastAsia="方正仿宋简体" w:cs="Times New Roman"/>
          <w:b/>
          <w:bCs/>
          <w:i w:val="0"/>
          <w:iCs w:val="0"/>
          <w:caps w:val="0"/>
          <w:color w:val="auto"/>
          <w:spacing w:val="0"/>
          <w:sz w:val="32"/>
          <w:szCs w:val="32"/>
          <w:highlight w:val="none"/>
          <w:shd w:val="clear" w:color="auto" w:fill="FFFFFF"/>
          <w:lang w:val="en-US" w:eastAsia="zh-CN"/>
        </w:rPr>
      </w:pP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（五）其他不属于</w:t>
      </w:r>
      <w:r>
        <w:rPr>
          <w:rFonts w:hint="default" w:ascii="Times New Roman" w:hAnsi="Times New Roman" w:eastAsia="方正仿宋简体" w:cs="Times New Roman"/>
          <w:i w:val="0"/>
          <w:iCs w:val="0"/>
          <w:caps w:val="0"/>
          <w:color w:val="auto"/>
          <w:spacing w:val="0"/>
          <w:sz w:val="32"/>
          <w:szCs w:val="32"/>
          <w:highlight w:val="none"/>
          <w:shd w:val="clear" w:color="auto" w:fill="FFFFFF"/>
          <w:lang w:val="en-US" w:eastAsia="zh-CN"/>
        </w:rPr>
        <w:t>《汕头市产业发展指导目录（2022年本）》《汕头市“三新两特一大”产业统计口径》</w:t>
      </w: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（汕工信﹝2021﹞319号）规定的</w:t>
      </w:r>
      <w:r>
        <w:rPr>
          <w:rFonts w:hint="default" w:ascii="Times New Roman" w:hAnsi="Times New Roman" w:eastAsia="方正仿宋简体" w:cs="Times New Roman"/>
          <w:i w:val="0"/>
          <w:iCs w:val="0"/>
          <w:caps w:val="0"/>
          <w:color w:val="auto"/>
          <w:spacing w:val="0"/>
          <w:sz w:val="32"/>
          <w:szCs w:val="32"/>
          <w:highlight w:val="none"/>
          <w:shd w:val="clear" w:color="auto" w:fill="FFFFFF"/>
          <w:lang w:val="en-US" w:eastAsia="zh-CN"/>
        </w:rPr>
        <w:t>新能源、新材料、新一代电子信息、玩具创意、纺织服装、大健康等产业</w:t>
      </w:r>
      <w:r>
        <w:rPr>
          <w:rFonts w:hint="eastAsia" w:ascii="Times New Roman" w:hAnsi="Times New Roman" w:eastAsia="方正仿宋简体" w:cs="Times New Roman"/>
          <w:i w:val="0"/>
          <w:iCs w:val="0"/>
          <w:caps w:val="0"/>
          <w:color w:val="auto"/>
          <w:spacing w:val="0"/>
          <w:sz w:val="32"/>
          <w:szCs w:val="32"/>
          <w:highlight w:val="none"/>
          <w:shd w:val="clear" w:color="auto" w:fill="FFFFFF"/>
          <w:lang w:val="en-US" w:eastAsia="zh-CN"/>
        </w:rPr>
        <w:t>类别的项目，</w:t>
      </w:r>
      <w:r>
        <w:rPr>
          <w:rFonts w:hint="eastAsia" w:ascii="Times New Roman" w:hAnsi="Times New Roman" w:eastAsia="方正仿宋简体" w:cs="Times New Roman"/>
          <w:b w:val="0"/>
          <w:bCs w:val="0"/>
          <w:i w:val="0"/>
          <w:iCs w:val="0"/>
          <w:caps w:val="0"/>
          <w:color w:val="auto"/>
          <w:spacing w:val="0"/>
          <w:sz w:val="32"/>
          <w:szCs w:val="32"/>
          <w:highlight w:val="none"/>
          <w:shd w:val="clear" w:color="auto" w:fill="FFFFFF"/>
          <w:lang w:val="en-US" w:eastAsia="zh-CN"/>
        </w:rPr>
        <w:t>原则上高于</w:t>
      </w:r>
      <w:r>
        <w:rPr>
          <w:rFonts w:hint="eastAsia" w:ascii="Times New Roman" w:hAnsi="Times New Roman" w:eastAsia="方正仿宋简体" w:cs="Times New Roman"/>
          <w:b w:val="0"/>
          <w:bCs w:val="0"/>
          <w:i w:val="0"/>
          <w:iCs w:val="0"/>
          <w:caps w:val="0"/>
          <w:color w:val="000000"/>
          <w:spacing w:val="0"/>
          <w:sz w:val="32"/>
          <w:szCs w:val="32"/>
          <w:highlight w:val="none"/>
          <w:shd w:val="clear" w:color="auto" w:fill="FFFFFF"/>
          <w:lang w:val="en-US" w:eastAsia="zh-CN"/>
        </w:rPr>
        <w:t>上述产业类别的准入指标</w:t>
      </w:r>
      <w:r>
        <w:rPr>
          <w:rFonts w:hint="default" w:ascii="Times New Roman" w:hAnsi="Times New Roman" w:eastAsia="方正仿宋简体" w:cs="Times New Roman"/>
          <w:b/>
          <w:bCs/>
          <w:i w:val="0"/>
          <w:iCs w:val="0"/>
          <w:caps w:val="0"/>
          <w:color w:val="auto"/>
          <w:spacing w:val="0"/>
          <w:sz w:val="32"/>
          <w:szCs w:val="32"/>
          <w:highlight w:val="none"/>
          <w:shd w:val="clear" w:color="auto" w:fill="FFFFFF"/>
          <w:lang w:val="en-US"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Times New Roman" w:hAnsi="Times New Roman" w:eastAsia="方正仿宋简体" w:cs="Times New Roman"/>
          <w:b/>
          <w:bCs/>
          <w:i w:val="0"/>
          <w:iCs w:val="0"/>
          <w:caps w:val="0"/>
          <w:color w:val="000000"/>
          <w:spacing w:val="0"/>
          <w:sz w:val="32"/>
          <w:szCs w:val="32"/>
          <w:highlight w:val="none"/>
          <w:shd w:val="clear" w:color="auto" w:fill="FFFFFF"/>
          <w:lang w:eastAsia="zh-CN"/>
        </w:rPr>
      </w:pP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六</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对</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濠江区</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产业结构调整和转型升级、</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建链</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强链补链延链具有重要意义的</w:t>
      </w:r>
      <w:r>
        <w:rPr>
          <w:rFonts w:hint="default" w:ascii="Times New Roman" w:hAnsi="Times New Roman" w:eastAsia="方正仿宋简体" w:cs="Times New Roman"/>
          <w:b w:val="0"/>
          <w:bCs w:val="0"/>
          <w:i w:val="0"/>
          <w:iCs w:val="0"/>
          <w:caps w:val="0"/>
          <w:color w:val="000000"/>
          <w:spacing w:val="0"/>
          <w:sz w:val="32"/>
          <w:szCs w:val="32"/>
          <w:highlight w:val="none"/>
          <w:shd w:val="clear" w:color="auto" w:fill="FFFFFF"/>
        </w:rPr>
        <w:t>项目</w:t>
      </w:r>
      <w:r>
        <w:rPr>
          <w:rFonts w:hint="eastAsia" w:ascii="Times New Roman" w:hAnsi="Times New Roman" w:eastAsia="方正仿宋简体" w:cs="Times New Roman"/>
          <w:b w:val="0"/>
          <w:bCs w:val="0"/>
          <w:i w:val="0"/>
          <w:iCs w:val="0"/>
          <w:caps w:val="0"/>
          <w:color w:val="000000"/>
          <w:spacing w:val="0"/>
          <w:sz w:val="32"/>
          <w:szCs w:val="32"/>
          <w:highlight w:val="none"/>
          <w:shd w:val="clear" w:color="auto" w:fill="FFFFFF"/>
          <w:lang w:eastAsia="zh-CN"/>
        </w:rPr>
        <w:t>，</w:t>
      </w:r>
      <w:r>
        <w:rPr>
          <w:rFonts w:hint="default" w:ascii="Times New Roman" w:hAnsi="Times New Roman" w:eastAsia="方正仿宋简体" w:cs="Times New Roman"/>
          <w:b w:val="0"/>
          <w:bCs w:val="0"/>
          <w:i w:val="0"/>
          <w:iCs w:val="0"/>
          <w:caps w:val="0"/>
          <w:color w:val="000000"/>
          <w:spacing w:val="0"/>
          <w:sz w:val="32"/>
          <w:szCs w:val="32"/>
          <w:highlight w:val="none"/>
          <w:shd w:val="clear" w:color="auto" w:fill="FFFFFF"/>
        </w:rPr>
        <w:t>经</w:t>
      </w:r>
      <w:r>
        <w:rPr>
          <w:rFonts w:hint="eastAsia" w:ascii="Times New Roman" w:hAnsi="Times New Roman" w:eastAsia="方正仿宋简体" w:cs="Times New Roman"/>
          <w:b w:val="0"/>
          <w:bCs w:val="0"/>
          <w:i w:val="0"/>
          <w:iCs w:val="0"/>
          <w:caps w:val="0"/>
          <w:color w:val="000000"/>
          <w:spacing w:val="0"/>
          <w:sz w:val="32"/>
          <w:szCs w:val="32"/>
          <w:highlight w:val="none"/>
          <w:shd w:val="clear" w:color="auto" w:fill="FFFFFF"/>
          <w:lang w:val="en-US" w:eastAsia="zh-CN"/>
        </w:rPr>
        <w:t>区工业和信息化局会同有关部门研究后</w:t>
      </w:r>
      <w:r>
        <w:rPr>
          <w:rFonts w:hint="default" w:ascii="Times New Roman" w:hAnsi="Times New Roman" w:eastAsia="方正仿宋简体" w:cs="Times New Roman"/>
          <w:b w:val="0"/>
          <w:bCs w:val="0"/>
          <w:i w:val="0"/>
          <w:iCs w:val="0"/>
          <w:caps w:val="0"/>
          <w:color w:val="000000"/>
          <w:spacing w:val="0"/>
          <w:sz w:val="32"/>
          <w:szCs w:val="32"/>
          <w:highlight w:val="none"/>
          <w:shd w:val="clear" w:color="auto" w:fill="FFFFFF"/>
        </w:rPr>
        <w:t>可适当降低</w:t>
      </w:r>
      <w:r>
        <w:rPr>
          <w:rFonts w:hint="eastAsia" w:ascii="Times New Roman" w:hAnsi="Times New Roman" w:eastAsia="方正仿宋简体" w:cs="Times New Roman"/>
          <w:b w:val="0"/>
          <w:bCs w:val="0"/>
          <w:i w:val="0"/>
          <w:iCs w:val="0"/>
          <w:caps w:val="0"/>
          <w:color w:val="000000"/>
          <w:spacing w:val="0"/>
          <w:sz w:val="32"/>
          <w:szCs w:val="32"/>
          <w:highlight w:val="none"/>
          <w:shd w:val="clear" w:color="auto" w:fill="FFFFFF"/>
          <w:lang w:val="en-US" w:eastAsia="zh-CN"/>
        </w:rPr>
        <w:t>项目准入指标</w:t>
      </w:r>
      <w:r>
        <w:rPr>
          <w:rFonts w:hint="eastAsia" w:ascii="Times New Roman" w:hAnsi="Times New Roman" w:eastAsia="方正仿宋简体" w:cs="Times New Roman"/>
          <w:b w:val="0"/>
          <w:bCs w:val="0"/>
          <w:i w:val="0"/>
          <w:iCs w:val="0"/>
          <w:caps w:val="0"/>
          <w:color w:val="000000"/>
          <w:spacing w:val="0"/>
          <w:sz w:val="32"/>
          <w:szCs w:val="32"/>
          <w:highlight w:val="none"/>
          <w:shd w:val="clear" w:color="auto" w:fill="FFFFFF"/>
          <w:lang w:eastAsia="zh-CN"/>
        </w:rPr>
        <w:t>。</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pPr>
      <w:r>
        <w:rPr>
          <w:rFonts w:hint="eastAsia" w:ascii="方正黑体简体" w:hAnsi="方正黑体简体" w:eastAsia="方正黑体简体" w:cs="方正黑体简体"/>
          <w:i w:val="0"/>
          <w:iCs w:val="0"/>
          <w:caps w:val="0"/>
          <w:color w:val="000000"/>
          <w:spacing w:val="0"/>
          <w:sz w:val="32"/>
          <w:szCs w:val="32"/>
          <w:highlight w:val="none"/>
          <w:shd w:val="clear" w:color="auto" w:fill="FFFFFF"/>
          <w:lang w:val="en-US" w:eastAsia="zh-CN"/>
        </w:rPr>
        <w:t>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default" w:ascii="Times New Roman" w:hAnsi="Times New Roman" w:eastAsia="方正仿宋简体" w:cs="Times New Roman"/>
          <w:i w:val="0"/>
          <w:iCs w:val="0"/>
          <w:caps w:val="0"/>
          <w:color w:val="000000"/>
          <w:spacing w:val="0"/>
          <w:sz w:val="32"/>
          <w:szCs w:val="32"/>
          <w:highlight w:val="none"/>
        </w:rPr>
      </w:pPr>
      <w:r>
        <w:rPr>
          <w:rFonts w:hint="default" w:ascii="Times New Roman" w:hAnsi="Times New Roman" w:eastAsia="方正仿宋简体" w:cs="Times New Roman"/>
          <w:i w:val="0"/>
          <w:iCs w:val="0"/>
          <w:caps w:val="0"/>
          <w:color w:val="000000"/>
          <w:spacing w:val="0"/>
          <w:sz w:val="32"/>
          <w:szCs w:val="32"/>
          <w:highlight w:val="none"/>
          <w:shd w:val="clear" w:color="auto" w:fill="FFFFFF"/>
        </w:rPr>
        <w:t>（一）本标准由</w:t>
      </w:r>
      <w:r>
        <w:rPr>
          <w:rFonts w:hint="default" w:ascii="Times New Roman" w:hAnsi="Times New Roman" w:eastAsia="方正仿宋简体" w:cs="Times New Roman"/>
          <w:i w:val="0"/>
          <w:iCs w:val="0"/>
          <w:caps w:val="0"/>
          <w:color w:val="000000"/>
          <w:spacing w:val="0"/>
          <w:sz w:val="32"/>
          <w:szCs w:val="32"/>
          <w:highlight w:val="none"/>
          <w:shd w:val="clear" w:color="auto" w:fill="FFFFFF"/>
          <w:lang w:eastAsia="zh-CN"/>
        </w:rPr>
        <w:t>濠江区</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工业和信息化局负责解释。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left"/>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pPr>
      <w:r>
        <w:rPr>
          <w:rFonts w:hint="default" w:ascii="Times New Roman" w:hAnsi="Times New Roman" w:eastAsia="方正仿宋简体" w:cs="Times New Roman"/>
          <w:i w:val="0"/>
          <w:iCs w:val="0"/>
          <w:caps w:val="0"/>
          <w:color w:val="000000"/>
          <w:spacing w:val="0"/>
          <w:sz w:val="32"/>
          <w:szCs w:val="32"/>
          <w:highlight w:val="none"/>
          <w:shd w:val="clear" w:color="auto" w:fill="FFFFFF"/>
        </w:rPr>
        <w:t>（二）本标准自印发之日起实施，有效期</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val="en-US" w:eastAsia="zh-CN"/>
        </w:rPr>
        <w:t>2</w:t>
      </w:r>
      <w:r>
        <w:rPr>
          <w:rFonts w:hint="default" w:ascii="Times New Roman" w:hAnsi="Times New Roman" w:eastAsia="方正仿宋简体" w:cs="Times New Roman"/>
          <w:i w:val="0"/>
          <w:iCs w:val="0"/>
          <w:caps w:val="0"/>
          <w:color w:val="000000"/>
          <w:spacing w:val="0"/>
          <w:sz w:val="32"/>
          <w:szCs w:val="32"/>
          <w:highlight w:val="none"/>
          <w:shd w:val="clear" w:color="auto" w:fill="FFFFFF"/>
        </w:rPr>
        <w:t>年</w:t>
      </w:r>
      <w:r>
        <w:rPr>
          <w:rFonts w:hint="eastAsia" w:ascii="Times New Roman" w:hAnsi="Times New Roman" w:eastAsia="方正仿宋简体" w:cs="Times New Roman"/>
          <w:i w:val="0"/>
          <w:iCs w:val="0"/>
          <w:caps w:val="0"/>
          <w:color w:val="000000"/>
          <w:spacing w:val="0"/>
          <w:sz w:val="32"/>
          <w:szCs w:val="32"/>
          <w:highlight w:val="none"/>
          <w:shd w:val="clear" w:color="auto"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jc w:val="left"/>
        <w:rPr>
          <w:rFonts w:hint="default" w:ascii="Times New Roman" w:hAnsi="Times New Roman" w:eastAsia="方正仿宋简体" w:cs="Times New Roman"/>
          <w:b/>
          <w:bCs/>
          <w:i w:val="0"/>
          <w:iCs w:val="0"/>
          <w:caps w:val="0"/>
          <w:color w:val="000000"/>
          <w:spacing w:val="0"/>
          <w:sz w:val="32"/>
          <w:szCs w:val="32"/>
          <w:highlight w:val="none"/>
          <w:shd w:val="clear" w:color="auto" w:fill="FFFFFF"/>
          <w:lang w:eastAsia="zh-CN"/>
        </w:rPr>
      </w:pPr>
    </w:p>
    <w:sectPr>
      <w:pgSz w:w="11906" w:h="16838"/>
      <w:pgMar w:top="1157" w:right="1633" w:bottom="1157"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E0EA9F-917E-42E0-B349-5FE7B419D4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embedRegular r:id="rId2" w:fontKey="{42D85B0B-4074-4B28-8039-D7FC37033E74}"/>
  </w:font>
  <w:font w:name="方正仿宋简体">
    <w:panose1 w:val="02000000000000000000"/>
    <w:charset w:val="86"/>
    <w:family w:val="auto"/>
    <w:pitch w:val="default"/>
    <w:sig w:usb0="A00002BF" w:usb1="184F6CFA" w:usb2="00000012" w:usb3="00000000" w:csb0="00040001" w:csb1="00000000"/>
    <w:embedRegular r:id="rId3" w:fontKey="{27003F22-BC70-44D4-A42D-5866AEC4ECE3}"/>
  </w:font>
  <w:font w:name="方正黑体简体">
    <w:panose1 w:val="02000000000000000000"/>
    <w:charset w:val="86"/>
    <w:family w:val="auto"/>
    <w:pitch w:val="default"/>
    <w:sig w:usb0="A00002BF" w:usb1="184F6CFA" w:usb2="00000012" w:usb3="00000000" w:csb0="00040001" w:csb1="00000000"/>
    <w:embedRegular r:id="rId4" w:fontKey="{F544E619-43A0-4C7F-BC62-4F89325699B0}"/>
  </w:font>
  <w:font w:name="仿宋">
    <w:panose1 w:val="02010609060101010101"/>
    <w:charset w:val="86"/>
    <w:family w:val="auto"/>
    <w:pitch w:val="default"/>
    <w:sig w:usb0="800002BF" w:usb1="38CF7CFA" w:usb2="00000016" w:usb3="00000000" w:csb0="00040001" w:csb1="00000000"/>
    <w:embedRegular r:id="rId5" w:fontKey="{62CB606B-9F2E-4398-960B-2E4A0AFEC12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chineseCounting"/>
      <w:suff w:val="nothing"/>
      <w:lvlText w:val="%1、"/>
      <w:lvlJc w:val="left"/>
      <w:rPr>
        <w:rFonts w:hint="eastAsia"/>
      </w:rPr>
    </w:lvl>
  </w:abstractNum>
  <w:abstractNum w:abstractNumId="1">
    <w:nsid w:val="00000001"/>
    <w:multiLevelType w:val="singleLevel"/>
    <w:tmpl w:val="0000000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yMGYyMjhjMWI1YzczNzQ3NmJhN2YwZTAyODUyYjQifQ=="/>
  </w:docVars>
  <w:rsids>
    <w:rsidRoot w:val="00000000"/>
    <w:rsid w:val="04414340"/>
    <w:rsid w:val="0AF06E89"/>
    <w:rsid w:val="0C072A34"/>
    <w:rsid w:val="2093621D"/>
    <w:rsid w:val="264A4969"/>
    <w:rsid w:val="2C563A65"/>
    <w:rsid w:val="4DE70F7C"/>
    <w:rsid w:val="4E7633F3"/>
    <w:rsid w:val="521F4858"/>
    <w:rsid w:val="558773EE"/>
    <w:rsid w:val="57B97A3D"/>
    <w:rsid w:val="59224753"/>
    <w:rsid w:val="6164068F"/>
    <w:rsid w:val="6B812730"/>
    <w:rsid w:val="6F176D29"/>
    <w:rsid w:val="72406AF5"/>
    <w:rsid w:val="79C23C9E"/>
    <w:rsid w:val="7B3C6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1449</Words>
  <Characters>1582</Characters>
  <Paragraphs>90</Paragraphs>
  <TotalTime>24</TotalTime>
  <ScaleCrop>false</ScaleCrop>
  <LinksUpToDate>false</LinksUpToDate>
  <CharactersWithSpaces>1585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2023-05-15T06:52:00Z</dcterms:created>
  <dc:creator>Administrator</dc:creator>
  <cp:lastModifiedBy>颖林-</cp:lastModifiedBy>
  <cp:lastPrinted>2023-07-18T02:51:07Z</cp:lastPrinted>
  <dcterms:modified xsi:type="dcterms:W3CDTF">2023-07-18T03:05:16Z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B1727CE4B7E9425095A05470A275CC96_13</vt:lpwstr>
  </property>
</Properties>
</file>